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A26" w:rsidRDefault="00E00A26" w:rsidP="00E00A26">
      <w:pPr>
        <w:jc w:val="center"/>
        <w:rPr>
          <w:b/>
          <w:sz w:val="40"/>
          <w:szCs w:val="40"/>
        </w:rPr>
      </w:pPr>
      <w:r w:rsidRPr="002101EA">
        <w:rPr>
          <w:b/>
          <w:sz w:val="40"/>
          <w:szCs w:val="40"/>
        </w:rPr>
        <w:t xml:space="preserve">EQUALITY IMPACT ASSESSMENT (EQIA): </w:t>
      </w:r>
    </w:p>
    <w:p w:rsidR="00E00A26" w:rsidRPr="002101EA" w:rsidRDefault="00E00A26" w:rsidP="00E00A26">
      <w:pPr>
        <w:jc w:val="center"/>
        <w:rPr>
          <w:b/>
          <w:sz w:val="40"/>
          <w:szCs w:val="40"/>
        </w:rPr>
      </w:pPr>
      <w:r w:rsidRPr="002101EA">
        <w:rPr>
          <w:b/>
          <w:sz w:val="40"/>
          <w:szCs w:val="40"/>
        </w:rPr>
        <w:t>SCREENING FORM</w:t>
      </w:r>
    </w:p>
    <w:p w:rsidR="00E00A26" w:rsidRPr="00284C11" w:rsidRDefault="00E00A26" w:rsidP="00E00A26">
      <w:pPr>
        <w:tabs>
          <w:tab w:val="left" w:pos="6062"/>
          <w:tab w:val="left" w:pos="11164"/>
          <w:tab w:val="left" w:pos="15276"/>
        </w:tabs>
        <w:ind w:left="-176"/>
        <w:rPr>
          <w:sz w:val="16"/>
          <w:szCs w:val="16"/>
        </w:rPr>
      </w:pPr>
    </w:p>
    <w:p w:rsidR="00E00A26" w:rsidRPr="00B04CFA" w:rsidRDefault="00E00A26" w:rsidP="00E00A26">
      <w:pPr>
        <w:tabs>
          <w:tab w:val="left" w:pos="6062"/>
          <w:tab w:val="left" w:pos="11164"/>
          <w:tab w:val="left" w:pos="15276"/>
        </w:tabs>
        <w:ind w:left="360"/>
        <w:rPr>
          <w:sz w:val="36"/>
          <w:szCs w:val="36"/>
        </w:rPr>
      </w:pPr>
      <w:r w:rsidRPr="00B04CFA">
        <w:rPr>
          <w:b/>
          <w:bCs/>
          <w:sz w:val="36"/>
          <w:szCs w:val="36"/>
        </w:rPr>
        <w:t>1. IDENTIFY THE POLICY, PROJECT, SERVICE REFORM OR BUDGET OPTION</w:t>
      </w:r>
      <w:r w:rsidRPr="00B04CFA">
        <w:rPr>
          <w:sz w:val="36"/>
          <w:szCs w:val="36"/>
        </w:rPr>
        <w:t xml:space="preserve">: </w:t>
      </w:r>
    </w:p>
    <w:p w:rsidR="00E00A26" w:rsidRPr="00284C11" w:rsidRDefault="00E00A26" w:rsidP="00E00A26">
      <w:pPr>
        <w:tabs>
          <w:tab w:val="left" w:pos="6062"/>
          <w:tab w:val="left" w:pos="11164"/>
          <w:tab w:val="left" w:pos="15276"/>
        </w:tabs>
        <w:rPr>
          <w:sz w:val="16"/>
          <w:szCs w:val="16"/>
        </w:rPr>
      </w:pPr>
    </w:p>
    <w:p w:rsidR="00E00A26" w:rsidRPr="00163A6F" w:rsidRDefault="00E00A26" w:rsidP="00E00A26">
      <w:pPr>
        <w:numPr>
          <w:ilvl w:val="0"/>
          <w:numId w:val="2"/>
        </w:numPr>
        <w:tabs>
          <w:tab w:val="left" w:pos="6062"/>
          <w:tab w:val="left" w:pos="11164"/>
          <w:tab w:val="left" w:pos="15276"/>
        </w:tabs>
        <w:rPr>
          <w:sz w:val="22"/>
        </w:rPr>
      </w:pPr>
      <w:r>
        <w:rPr>
          <w:sz w:val="22"/>
        </w:rPr>
        <w:t xml:space="preserve">Name of the Policy, Project, Service Reform or Budget Option to be screened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9"/>
      </w:tblGrid>
      <w:tr w:rsidR="00E00A26" w:rsidRPr="00C87613" w:rsidTr="003E60B1">
        <w:tc>
          <w:tcPr>
            <w:tcW w:w="14295" w:type="dxa"/>
            <w:shd w:val="clear" w:color="auto" w:fill="auto"/>
          </w:tcPr>
          <w:p w:rsidR="00507868" w:rsidRPr="00507868" w:rsidRDefault="00507868" w:rsidP="00507868">
            <w:pPr>
              <w:tabs>
                <w:tab w:val="left" w:pos="6062"/>
                <w:tab w:val="left" w:pos="11164"/>
                <w:tab w:val="left" w:pos="15276"/>
              </w:tabs>
              <w:rPr>
                <w:sz w:val="22"/>
              </w:rPr>
            </w:pPr>
            <w:r w:rsidRPr="00507868">
              <w:rPr>
                <w:sz w:val="22"/>
              </w:rPr>
              <w:t>Re-open Linn Park Adventure Play Park, an indoor and outdoor play centre for children with additional support needs and their families.</w:t>
            </w:r>
          </w:p>
          <w:p w:rsidR="00507868" w:rsidRPr="00507868" w:rsidRDefault="00507868" w:rsidP="00507868">
            <w:pPr>
              <w:tabs>
                <w:tab w:val="left" w:pos="6062"/>
                <w:tab w:val="left" w:pos="11164"/>
                <w:tab w:val="left" w:pos="15276"/>
              </w:tabs>
              <w:rPr>
                <w:sz w:val="22"/>
              </w:rPr>
            </w:pPr>
          </w:p>
          <w:p w:rsidR="00507868" w:rsidRPr="00507868" w:rsidRDefault="00507868" w:rsidP="00507868">
            <w:pPr>
              <w:tabs>
                <w:tab w:val="left" w:pos="6062"/>
                <w:tab w:val="left" w:pos="11164"/>
                <w:tab w:val="left" w:pos="15276"/>
              </w:tabs>
              <w:rPr>
                <w:sz w:val="22"/>
              </w:rPr>
            </w:pPr>
            <w:r w:rsidRPr="00507868">
              <w:rPr>
                <w:sz w:val="22"/>
              </w:rPr>
              <w:t>A bookable service for Additional Support Need Schools operates Tuesday – Friday from 10am – 3pm daily.  The ce</w:t>
            </w:r>
            <w:r>
              <w:rPr>
                <w:sz w:val="22"/>
              </w:rPr>
              <w:t>ntre is also open to everyone initially on</w:t>
            </w:r>
            <w:r w:rsidRPr="00507868">
              <w:rPr>
                <w:sz w:val="22"/>
              </w:rPr>
              <w:t xml:space="preserve"> Saturdays </w:t>
            </w:r>
            <w:r>
              <w:rPr>
                <w:sz w:val="22"/>
              </w:rPr>
              <w:t xml:space="preserve">10am – 4pm, with </w:t>
            </w:r>
            <w:r w:rsidRPr="00507868">
              <w:rPr>
                <w:sz w:val="22"/>
              </w:rPr>
              <w:t xml:space="preserve">Sundays from 10am – 4pm </w:t>
            </w:r>
            <w:r>
              <w:rPr>
                <w:sz w:val="22"/>
              </w:rPr>
              <w:t xml:space="preserve">at an appropriate time.  All services / access must be </w:t>
            </w:r>
            <w:r w:rsidRPr="00507868">
              <w:rPr>
                <w:sz w:val="22"/>
              </w:rPr>
              <w:t>book</w:t>
            </w:r>
            <w:r>
              <w:rPr>
                <w:sz w:val="22"/>
              </w:rPr>
              <w:t>ed in advance.</w:t>
            </w:r>
          </w:p>
          <w:p w:rsidR="00507868" w:rsidRPr="00507868" w:rsidRDefault="00507868" w:rsidP="00507868">
            <w:pPr>
              <w:tabs>
                <w:tab w:val="left" w:pos="6062"/>
                <w:tab w:val="left" w:pos="11164"/>
                <w:tab w:val="left" w:pos="15276"/>
              </w:tabs>
              <w:rPr>
                <w:sz w:val="22"/>
              </w:rPr>
            </w:pPr>
          </w:p>
          <w:p w:rsidR="00507868" w:rsidRPr="00507868" w:rsidRDefault="00507868" w:rsidP="00507868">
            <w:pPr>
              <w:tabs>
                <w:tab w:val="left" w:pos="6062"/>
                <w:tab w:val="left" w:pos="11164"/>
                <w:tab w:val="left" w:pos="15276"/>
              </w:tabs>
              <w:rPr>
                <w:sz w:val="22"/>
              </w:rPr>
            </w:pPr>
            <w:r w:rsidRPr="00507868">
              <w:rPr>
                <w:sz w:val="22"/>
              </w:rPr>
              <w:t>All services will operate at a reduced level to comply with physical distancing requirements.  Therefore the Youth evenings may not be able to recommence with the current 2m physical distancing as the indoor capacity will be low to safely operate.  The sensory room and soft play room will also require consideration and may not be safe to operate due to frequency/ level of cleaning required.</w:t>
            </w:r>
          </w:p>
          <w:p w:rsidR="00E00A26" w:rsidRPr="00284C11" w:rsidRDefault="00E00A26" w:rsidP="003E60B1">
            <w:pPr>
              <w:tabs>
                <w:tab w:val="left" w:pos="6062"/>
                <w:tab w:val="left" w:pos="11164"/>
                <w:tab w:val="left" w:pos="15276"/>
              </w:tabs>
              <w:rPr>
                <w:sz w:val="8"/>
                <w:szCs w:val="8"/>
              </w:rPr>
            </w:pPr>
          </w:p>
        </w:tc>
      </w:tr>
    </w:tbl>
    <w:p w:rsidR="00E00A26" w:rsidRDefault="00E00A26" w:rsidP="00E00A26">
      <w:pPr>
        <w:tabs>
          <w:tab w:val="left" w:pos="6062"/>
          <w:tab w:val="left" w:pos="11164"/>
          <w:tab w:val="left" w:pos="15276"/>
        </w:tabs>
        <w:rPr>
          <w:sz w:val="22"/>
        </w:rPr>
      </w:pPr>
    </w:p>
    <w:p w:rsidR="00E00A26" w:rsidRDefault="00E00A26" w:rsidP="00E00A26">
      <w:pPr>
        <w:numPr>
          <w:ilvl w:val="0"/>
          <w:numId w:val="2"/>
        </w:numPr>
        <w:tabs>
          <w:tab w:val="left" w:pos="6062"/>
          <w:tab w:val="left" w:pos="11164"/>
          <w:tab w:val="left" w:pos="15276"/>
        </w:tabs>
        <w:rPr>
          <w:sz w:val="22"/>
        </w:rPr>
      </w:pPr>
      <w:r w:rsidRPr="00163A6F">
        <w:rPr>
          <w:sz w:val="22"/>
        </w:rPr>
        <w:t>Reason for Change in Policy or Policy Development</w:t>
      </w:r>
      <w:r>
        <w:rPr>
          <w:sz w:val="22"/>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9"/>
      </w:tblGrid>
      <w:tr w:rsidR="00E00A26" w:rsidRPr="00C87613" w:rsidTr="003E60B1">
        <w:trPr>
          <w:trHeight w:val="1111"/>
        </w:trPr>
        <w:tc>
          <w:tcPr>
            <w:tcW w:w="14295" w:type="dxa"/>
            <w:shd w:val="clear" w:color="auto" w:fill="auto"/>
          </w:tcPr>
          <w:p w:rsidR="00507868" w:rsidRPr="00507868" w:rsidRDefault="00507868" w:rsidP="00507868">
            <w:pPr>
              <w:tabs>
                <w:tab w:val="left" w:pos="6062"/>
                <w:tab w:val="left" w:pos="11164"/>
                <w:tab w:val="left" w:pos="15276"/>
              </w:tabs>
              <w:rPr>
                <w:sz w:val="22"/>
              </w:rPr>
            </w:pPr>
            <w:r w:rsidRPr="00507868">
              <w:rPr>
                <w:sz w:val="22"/>
              </w:rPr>
              <w:t>Scottish Government Guidance for Early Learning Centres</w:t>
            </w:r>
            <w:r w:rsidR="005F05B9">
              <w:rPr>
                <w:sz w:val="22"/>
              </w:rPr>
              <w:t>(ELC)</w:t>
            </w:r>
          </w:p>
          <w:p w:rsidR="00507868" w:rsidRPr="00507868" w:rsidRDefault="00507868" w:rsidP="00507868">
            <w:pPr>
              <w:tabs>
                <w:tab w:val="left" w:pos="6062"/>
                <w:tab w:val="left" w:pos="11164"/>
                <w:tab w:val="left" w:pos="15276"/>
              </w:tabs>
              <w:rPr>
                <w:sz w:val="22"/>
              </w:rPr>
            </w:pPr>
          </w:p>
          <w:p w:rsidR="00507868" w:rsidRPr="00507868" w:rsidRDefault="00507868" w:rsidP="00507868">
            <w:pPr>
              <w:tabs>
                <w:tab w:val="left" w:pos="6062"/>
                <w:tab w:val="left" w:pos="11164"/>
                <w:tab w:val="left" w:pos="15276"/>
              </w:tabs>
              <w:rPr>
                <w:sz w:val="22"/>
              </w:rPr>
            </w:pPr>
            <w:r w:rsidRPr="00507868">
              <w:rPr>
                <w:sz w:val="22"/>
              </w:rPr>
              <w:t>Given that the risks of transmission are much lower outdoors, ELC provision should maximise opportunities for outdoor play and activities. If outdoor equipment is being used, settings should ensure that multiple groups of children do not use it simultaneously, as well as considering appropriate cleaning between groups of children using it. For outdoor sandpits or mud kitchens staff should clean equipment children use in these activities between use by groups of children.</w:t>
            </w:r>
          </w:p>
          <w:p w:rsidR="00507868" w:rsidRPr="00507868" w:rsidRDefault="00507868" w:rsidP="00507868">
            <w:pPr>
              <w:tabs>
                <w:tab w:val="left" w:pos="6062"/>
                <w:tab w:val="left" w:pos="11164"/>
                <w:tab w:val="left" w:pos="15276"/>
              </w:tabs>
              <w:rPr>
                <w:sz w:val="22"/>
              </w:rPr>
            </w:pPr>
          </w:p>
          <w:p w:rsidR="00507868" w:rsidRPr="00C87613" w:rsidRDefault="00507868" w:rsidP="00507868">
            <w:pPr>
              <w:tabs>
                <w:tab w:val="left" w:pos="6062"/>
                <w:tab w:val="left" w:pos="11164"/>
                <w:tab w:val="left" w:pos="15276"/>
              </w:tabs>
              <w:rPr>
                <w:sz w:val="22"/>
              </w:rPr>
            </w:pPr>
            <w:r w:rsidRPr="00507868">
              <w:rPr>
                <w:sz w:val="22"/>
              </w:rPr>
              <w:t xml:space="preserve">Staff should plan for children to enjoy active energetic play across the day and this may include making use of </w:t>
            </w:r>
            <w:r w:rsidR="00284C11">
              <w:rPr>
                <w:sz w:val="22"/>
              </w:rPr>
              <w:t xml:space="preserve">other areas near to the service. </w:t>
            </w:r>
            <w:r w:rsidRPr="00507868">
              <w:rPr>
                <w:sz w:val="22"/>
              </w:rPr>
              <w:t>Within any public spaces staff should be aware at all times of the need to keep children distanced from any other children who are not part of the setting, or other adults who may be in the vicinity.</w:t>
            </w:r>
          </w:p>
          <w:p w:rsidR="00E00A26" w:rsidRPr="00284C11" w:rsidRDefault="00E00A26" w:rsidP="003E60B1">
            <w:pPr>
              <w:tabs>
                <w:tab w:val="left" w:pos="6062"/>
                <w:tab w:val="left" w:pos="11164"/>
                <w:tab w:val="left" w:pos="15276"/>
              </w:tabs>
              <w:rPr>
                <w:sz w:val="8"/>
                <w:szCs w:val="8"/>
              </w:rPr>
            </w:pPr>
          </w:p>
        </w:tc>
      </w:tr>
    </w:tbl>
    <w:p w:rsidR="00E00A26" w:rsidRPr="00163A6F" w:rsidRDefault="00E00A26" w:rsidP="00E00A26">
      <w:pPr>
        <w:tabs>
          <w:tab w:val="left" w:pos="6062"/>
          <w:tab w:val="left" w:pos="11164"/>
          <w:tab w:val="left" w:pos="15276"/>
        </w:tabs>
        <w:rPr>
          <w:sz w:val="22"/>
        </w:rPr>
      </w:pPr>
    </w:p>
    <w:p w:rsidR="00E00A26" w:rsidRPr="00163A6F" w:rsidRDefault="00E00A26" w:rsidP="00E00A26">
      <w:pPr>
        <w:numPr>
          <w:ilvl w:val="0"/>
          <w:numId w:val="2"/>
        </w:numPr>
        <w:tabs>
          <w:tab w:val="left" w:pos="6062"/>
          <w:tab w:val="left" w:pos="11164"/>
          <w:tab w:val="left" w:pos="15276"/>
        </w:tabs>
        <w:rPr>
          <w:sz w:val="22"/>
        </w:rPr>
      </w:pPr>
      <w:r>
        <w:rPr>
          <w:sz w:val="22"/>
        </w:rPr>
        <w:t>List main outcome focus and supporting activities of the Policy, Project, Service Reform or Budget Option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9"/>
      </w:tblGrid>
      <w:tr w:rsidR="00E00A26" w:rsidRPr="00C87613" w:rsidTr="00284C11">
        <w:trPr>
          <w:trHeight w:val="860"/>
        </w:trPr>
        <w:tc>
          <w:tcPr>
            <w:tcW w:w="14295" w:type="dxa"/>
            <w:shd w:val="clear" w:color="auto" w:fill="auto"/>
          </w:tcPr>
          <w:p w:rsidR="00507868" w:rsidRPr="005F05B9" w:rsidRDefault="00507868" w:rsidP="00507868">
            <w:pPr>
              <w:rPr>
                <w:sz w:val="22"/>
                <w:szCs w:val="22"/>
              </w:rPr>
            </w:pPr>
            <w:r w:rsidRPr="005F05B9">
              <w:rPr>
                <w:sz w:val="22"/>
                <w:szCs w:val="22"/>
              </w:rPr>
              <w:lastRenderedPageBreak/>
              <w:t>Linn Park Adventure Playground offers a lifeline to parents with children who have additional support needs. The indoor / outdoor facility offers a safe, non-judgemental play space for kids who can't go to mainstream parks</w:t>
            </w:r>
          </w:p>
          <w:p w:rsidR="00507868" w:rsidRPr="005F05B9" w:rsidRDefault="00507868" w:rsidP="00507868">
            <w:pPr>
              <w:rPr>
                <w:sz w:val="22"/>
                <w:szCs w:val="22"/>
              </w:rPr>
            </w:pPr>
            <w:r w:rsidRPr="005F05B9">
              <w:rPr>
                <w:sz w:val="22"/>
                <w:szCs w:val="22"/>
              </w:rPr>
              <w:t>Lockdown for COVID 19 removed much relied on services from children, families and carers across Glasgow with the impact being very stressful and challenging for ASN families.  Opening will provide children and their parents / carers a bit of much needed respite and support on their journey to a new norm.</w:t>
            </w:r>
          </w:p>
          <w:p w:rsidR="00507868" w:rsidRDefault="00507868" w:rsidP="00284C11"/>
          <w:p w:rsidR="00E00A26" w:rsidRPr="005F05B9" w:rsidRDefault="00507868" w:rsidP="00507868">
            <w:pPr>
              <w:tabs>
                <w:tab w:val="left" w:pos="6062"/>
                <w:tab w:val="left" w:pos="11164"/>
                <w:tab w:val="left" w:pos="15276"/>
              </w:tabs>
              <w:rPr>
                <w:sz w:val="22"/>
                <w:szCs w:val="22"/>
              </w:rPr>
            </w:pPr>
            <w:r w:rsidRPr="005F05B9">
              <w:rPr>
                <w:sz w:val="22"/>
                <w:szCs w:val="22"/>
              </w:rPr>
              <w:t>Play is fundamental to children's development and should be freely chosen and self-directed when possible. Our aim is to encourage every child's social, physical, intellectual, creative and emotional development through different types of play. To accomplish this we need both children and adults to attend.</w:t>
            </w:r>
          </w:p>
        </w:tc>
      </w:tr>
    </w:tbl>
    <w:p w:rsidR="00E00A26" w:rsidRDefault="00E00A26" w:rsidP="00E00A26">
      <w:pPr>
        <w:tabs>
          <w:tab w:val="left" w:pos="6062"/>
          <w:tab w:val="left" w:pos="11164"/>
          <w:tab w:val="left" w:pos="15276"/>
        </w:tabs>
        <w:rPr>
          <w:sz w:val="22"/>
        </w:rPr>
      </w:pPr>
    </w:p>
    <w:p w:rsidR="00E00A26" w:rsidRDefault="00E00A26" w:rsidP="00E00A26">
      <w:pPr>
        <w:numPr>
          <w:ilvl w:val="0"/>
          <w:numId w:val="2"/>
        </w:numPr>
        <w:tabs>
          <w:tab w:val="left" w:pos="6062"/>
          <w:tab w:val="left" w:pos="11164"/>
          <w:tab w:val="left" w:pos="15276"/>
        </w:tabs>
        <w:rPr>
          <w:sz w:val="22"/>
        </w:rPr>
      </w:pPr>
      <w:r>
        <w:rPr>
          <w:sz w:val="22"/>
        </w:rPr>
        <w:t>Name of officer completing assessment  (signed and date)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9"/>
      </w:tblGrid>
      <w:tr w:rsidR="00E00A26" w:rsidRPr="00C87613" w:rsidTr="003E60B1">
        <w:tc>
          <w:tcPr>
            <w:tcW w:w="14295" w:type="dxa"/>
            <w:shd w:val="clear" w:color="auto" w:fill="auto"/>
          </w:tcPr>
          <w:p w:rsidR="00E00A26" w:rsidRPr="00C87613" w:rsidRDefault="00507868" w:rsidP="003E60B1">
            <w:pPr>
              <w:tabs>
                <w:tab w:val="left" w:pos="6062"/>
                <w:tab w:val="left" w:pos="11164"/>
                <w:tab w:val="left" w:pos="15276"/>
              </w:tabs>
              <w:rPr>
                <w:sz w:val="22"/>
              </w:rPr>
            </w:pPr>
            <w:r>
              <w:rPr>
                <w:sz w:val="22"/>
              </w:rPr>
              <w:t>Martin Wright - 26 October 2020 (draft 2)</w:t>
            </w:r>
          </w:p>
          <w:p w:rsidR="00E00A26" w:rsidRPr="00C87613" w:rsidRDefault="00E00A26" w:rsidP="003E60B1">
            <w:pPr>
              <w:tabs>
                <w:tab w:val="left" w:pos="6062"/>
                <w:tab w:val="left" w:pos="11164"/>
                <w:tab w:val="left" w:pos="15276"/>
              </w:tabs>
              <w:rPr>
                <w:sz w:val="22"/>
              </w:rPr>
            </w:pPr>
          </w:p>
        </w:tc>
      </w:tr>
    </w:tbl>
    <w:p w:rsidR="00E00A26" w:rsidRDefault="00E00A26" w:rsidP="00E00A26">
      <w:pPr>
        <w:tabs>
          <w:tab w:val="left" w:pos="6062"/>
          <w:tab w:val="left" w:pos="11164"/>
          <w:tab w:val="left" w:pos="15276"/>
        </w:tabs>
        <w:rPr>
          <w:sz w:val="22"/>
        </w:rPr>
      </w:pPr>
    </w:p>
    <w:p w:rsidR="00E00A26" w:rsidRDefault="00E00A26" w:rsidP="00E00A26">
      <w:pPr>
        <w:numPr>
          <w:ilvl w:val="0"/>
          <w:numId w:val="2"/>
        </w:numPr>
        <w:tabs>
          <w:tab w:val="left" w:pos="6062"/>
          <w:tab w:val="left" w:pos="11164"/>
          <w:tab w:val="left" w:pos="15276"/>
        </w:tabs>
        <w:rPr>
          <w:sz w:val="22"/>
        </w:rPr>
      </w:pPr>
      <w:r>
        <w:rPr>
          <w:sz w:val="22"/>
        </w:rPr>
        <w:t>Assessment Verified by (signed and date)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9"/>
      </w:tblGrid>
      <w:tr w:rsidR="00E00A26" w:rsidRPr="00C87613" w:rsidTr="003E60B1">
        <w:tc>
          <w:tcPr>
            <w:tcW w:w="14295" w:type="dxa"/>
            <w:shd w:val="clear" w:color="auto" w:fill="auto"/>
          </w:tcPr>
          <w:p w:rsidR="00E00A26" w:rsidRPr="00C87613" w:rsidRDefault="00507868" w:rsidP="003E60B1">
            <w:pPr>
              <w:tabs>
                <w:tab w:val="left" w:pos="6062"/>
                <w:tab w:val="left" w:pos="11164"/>
                <w:tab w:val="left" w:pos="15276"/>
              </w:tabs>
              <w:rPr>
                <w:sz w:val="22"/>
              </w:rPr>
            </w:pPr>
            <w:r>
              <w:rPr>
                <w:sz w:val="22"/>
              </w:rPr>
              <w:t>Alex Byer - TBC</w:t>
            </w:r>
          </w:p>
          <w:p w:rsidR="00E00A26" w:rsidRPr="00C87613" w:rsidRDefault="00E00A26" w:rsidP="003E60B1">
            <w:pPr>
              <w:tabs>
                <w:tab w:val="left" w:pos="6062"/>
                <w:tab w:val="left" w:pos="11164"/>
                <w:tab w:val="left" w:pos="15276"/>
              </w:tabs>
              <w:rPr>
                <w:sz w:val="22"/>
              </w:rPr>
            </w:pPr>
          </w:p>
        </w:tc>
      </w:tr>
    </w:tbl>
    <w:p w:rsidR="00E00A26" w:rsidRDefault="00E00A26" w:rsidP="00E00A26">
      <w:pPr>
        <w:tabs>
          <w:tab w:val="left" w:pos="6062"/>
          <w:tab w:val="left" w:pos="11164"/>
          <w:tab w:val="left" w:pos="15276"/>
        </w:tabs>
        <w:ind w:left="720"/>
        <w:rPr>
          <w:sz w:val="22"/>
        </w:rPr>
      </w:pPr>
    </w:p>
    <w:p w:rsidR="00E00A26" w:rsidRDefault="00E00A26" w:rsidP="00E00A26">
      <w:pPr>
        <w:pStyle w:val="Heading1"/>
        <w:sectPr w:rsidR="00E00A26" w:rsidSect="002101EA">
          <w:headerReference w:type="default" r:id="rId11"/>
          <w:footerReference w:type="default" r:id="rId12"/>
          <w:pgSz w:w="16838" w:h="11906" w:orient="landscape" w:code="9"/>
          <w:pgMar w:top="851" w:right="1440" w:bottom="1135" w:left="851" w:header="720" w:footer="720" w:gutter="0"/>
          <w:cols w:space="720"/>
        </w:sectPr>
      </w:pPr>
    </w:p>
    <w:p w:rsidR="00E00A26" w:rsidRDefault="00E00A26" w:rsidP="00E00A26">
      <w:pPr>
        <w:pStyle w:val="Heading1"/>
        <w:ind w:left="360"/>
      </w:pPr>
    </w:p>
    <w:p w:rsidR="00E00A26" w:rsidRPr="00B04CFA" w:rsidRDefault="00E00A26" w:rsidP="00E00A26">
      <w:pPr>
        <w:pStyle w:val="Heading1"/>
        <w:numPr>
          <w:ilvl w:val="0"/>
          <w:numId w:val="4"/>
        </w:numPr>
        <w:rPr>
          <w:sz w:val="36"/>
          <w:szCs w:val="36"/>
        </w:rPr>
      </w:pPr>
      <w:r w:rsidRPr="00B04CFA">
        <w:rPr>
          <w:sz w:val="36"/>
          <w:szCs w:val="36"/>
        </w:rPr>
        <w:t>GATHERING EVIDENCE &amp; STAKEHOLDER ENGAGEMENT</w:t>
      </w:r>
    </w:p>
    <w:p w:rsidR="00E00A26" w:rsidRDefault="00E00A26" w:rsidP="00E00A26">
      <w:pPr>
        <w:rPr>
          <w:sz w:val="22"/>
        </w:rPr>
      </w:pPr>
    </w:p>
    <w:p w:rsidR="00E00A26" w:rsidRDefault="00E00A26" w:rsidP="00E00A26">
      <w:pPr>
        <w:ind w:left="360"/>
        <w:rPr>
          <w:sz w:val="22"/>
        </w:rPr>
      </w:pPr>
      <w:r>
        <w:rPr>
          <w:sz w:val="22"/>
        </w:rPr>
        <w:t xml:space="preserve">The best approach to find out if a policy, etc is likely to impact positively or negatively on equality groups is to look at existing research, previous consultation recommendations, studies or consult with representatives of those groups.  You should list below any data, consultations (previous relevant or future planned), or any relevant research or analysis that supports the </w:t>
      </w:r>
      <w:r w:rsidRPr="00D70CD6">
        <w:rPr>
          <w:bCs/>
          <w:sz w:val="22"/>
          <w:szCs w:val="28"/>
        </w:rPr>
        <w:t>Policy, Project, Service Reform or Budget Option</w:t>
      </w:r>
      <w:r>
        <w:rPr>
          <w:bCs/>
          <w:sz w:val="22"/>
          <w:szCs w:val="28"/>
        </w:rPr>
        <w:t xml:space="preserve"> being undertaken. </w:t>
      </w:r>
    </w:p>
    <w:p w:rsidR="00E00A26" w:rsidRDefault="00E00A26" w:rsidP="00E00A26">
      <w:pPr>
        <w:rPr>
          <w:sz w:val="22"/>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0"/>
        <w:gridCol w:w="3753"/>
        <w:gridCol w:w="3505"/>
      </w:tblGrid>
      <w:tr w:rsidR="00E00A26" w:rsidTr="00284C11">
        <w:tc>
          <w:tcPr>
            <w:tcW w:w="7300" w:type="dxa"/>
            <w:shd w:val="clear" w:color="auto" w:fill="C0C0C0"/>
          </w:tcPr>
          <w:p w:rsidR="00E00A26" w:rsidRDefault="00E00A26" w:rsidP="003E60B1">
            <w:pPr>
              <w:rPr>
                <w:b/>
                <w:sz w:val="22"/>
              </w:rPr>
            </w:pPr>
          </w:p>
          <w:p w:rsidR="00E00A26" w:rsidRPr="006D3284" w:rsidRDefault="00E00A26" w:rsidP="003E60B1">
            <w:pPr>
              <w:rPr>
                <w:sz w:val="22"/>
              </w:rPr>
            </w:pPr>
            <w:r w:rsidRPr="006D3284">
              <w:rPr>
                <w:sz w:val="22"/>
              </w:rPr>
              <w:t>Please name any research, data, consultation or studies referred to for this assessment:</w:t>
            </w:r>
          </w:p>
        </w:tc>
        <w:tc>
          <w:tcPr>
            <w:tcW w:w="3753" w:type="dxa"/>
            <w:shd w:val="clear" w:color="auto" w:fill="C0C0C0"/>
          </w:tcPr>
          <w:p w:rsidR="00E00A26" w:rsidRDefault="00E00A26" w:rsidP="003E60B1">
            <w:pPr>
              <w:rPr>
                <w:sz w:val="22"/>
              </w:rPr>
            </w:pPr>
          </w:p>
          <w:p w:rsidR="00E00A26" w:rsidRDefault="00E00A26" w:rsidP="003E60B1">
            <w:pPr>
              <w:rPr>
                <w:rFonts w:cs="Arial"/>
                <w:szCs w:val="24"/>
              </w:rPr>
            </w:pPr>
            <w:r>
              <w:rPr>
                <w:sz w:val="22"/>
              </w:rPr>
              <w:t>Please state if this reference refers to one or more of the protected characteristics</w:t>
            </w:r>
            <w:r>
              <w:rPr>
                <w:rFonts w:cs="Arial"/>
                <w:szCs w:val="24"/>
              </w:rPr>
              <w:t>:</w:t>
            </w:r>
          </w:p>
          <w:p w:rsidR="00E00A26" w:rsidRDefault="00E00A26" w:rsidP="003E60B1">
            <w:pPr>
              <w:rPr>
                <w:rFonts w:cs="Arial"/>
                <w:szCs w:val="24"/>
              </w:rPr>
            </w:pPr>
          </w:p>
          <w:p w:rsidR="00E00A26" w:rsidRDefault="00E00A26" w:rsidP="00E00A26">
            <w:pPr>
              <w:numPr>
                <w:ilvl w:val="0"/>
                <w:numId w:val="1"/>
              </w:numPr>
              <w:rPr>
                <w:rFonts w:cs="Arial"/>
                <w:sz w:val="22"/>
                <w:szCs w:val="22"/>
              </w:rPr>
            </w:pPr>
            <w:r>
              <w:rPr>
                <w:rFonts w:cs="Arial"/>
                <w:sz w:val="22"/>
                <w:szCs w:val="22"/>
              </w:rPr>
              <w:t>age</w:t>
            </w:r>
          </w:p>
          <w:p w:rsidR="00E00A26" w:rsidRPr="00874EAF" w:rsidRDefault="00E00A26" w:rsidP="00E00A26">
            <w:pPr>
              <w:numPr>
                <w:ilvl w:val="0"/>
                <w:numId w:val="1"/>
              </w:numPr>
              <w:rPr>
                <w:rFonts w:cs="Arial"/>
                <w:sz w:val="22"/>
                <w:szCs w:val="22"/>
              </w:rPr>
            </w:pPr>
            <w:r w:rsidRPr="00874EAF">
              <w:rPr>
                <w:rFonts w:cs="Arial"/>
                <w:sz w:val="22"/>
                <w:szCs w:val="22"/>
              </w:rPr>
              <w:t xml:space="preserve">disability, </w:t>
            </w:r>
          </w:p>
          <w:p w:rsidR="00E00A26" w:rsidRPr="00874EAF" w:rsidRDefault="00E00A26" w:rsidP="00E00A26">
            <w:pPr>
              <w:numPr>
                <w:ilvl w:val="0"/>
                <w:numId w:val="1"/>
              </w:numPr>
              <w:rPr>
                <w:rFonts w:cs="Arial"/>
                <w:sz w:val="22"/>
                <w:szCs w:val="22"/>
              </w:rPr>
            </w:pPr>
            <w:r w:rsidRPr="00874EAF">
              <w:rPr>
                <w:rFonts w:cs="Arial"/>
                <w:sz w:val="22"/>
                <w:szCs w:val="22"/>
              </w:rPr>
              <w:t>race</w:t>
            </w:r>
            <w:r>
              <w:rPr>
                <w:rFonts w:cs="Arial"/>
                <w:sz w:val="22"/>
                <w:szCs w:val="22"/>
              </w:rPr>
              <w:t xml:space="preserve"> and/or ethnicity</w:t>
            </w:r>
            <w:r w:rsidRPr="00874EAF">
              <w:rPr>
                <w:rFonts w:cs="Arial"/>
                <w:sz w:val="22"/>
                <w:szCs w:val="22"/>
              </w:rPr>
              <w:t xml:space="preserve">, </w:t>
            </w:r>
          </w:p>
          <w:p w:rsidR="00E00A26" w:rsidRPr="00874EAF" w:rsidRDefault="00E00A26" w:rsidP="00E00A26">
            <w:pPr>
              <w:numPr>
                <w:ilvl w:val="0"/>
                <w:numId w:val="1"/>
              </w:numPr>
              <w:rPr>
                <w:rFonts w:cs="Arial"/>
                <w:sz w:val="22"/>
                <w:szCs w:val="22"/>
              </w:rPr>
            </w:pPr>
            <w:r w:rsidRPr="00874EAF">
              <w:rPr>
                <w:rFonts w:cs="Arial"/>
                <w:sz w:val="22"/>
                <w:szCs w:val="22"/>
              </w:rPr>
              <w:t xml:space="preserve">religion or belief (including lack of belief), </w:t>
            </w:r>
          </w:p>
          <w:p w:rsidR="00E00A26" w:rsidRDefault="00E00A26" w:rsidP="00E00A26">
            <w:pPr>
              <w:numPr>
                <w:ilvl w:val="0"/>
                <w:numId w:val="1"/>
              </w:numPr>
              <w:rPr>
                <w:rFonts w:cs="Arial"/>
                <w:sz w:val="22"/>
                <w:szCs w:val="22"/>
              </w:rPr>
            </w:pPr>
            <w:r>
              <w:rPr>
                <w:rFonts w:cs="Arial"/>
                <w:sz w:val="22"/>
                <w:szCs w:val="22"/>
              </w:rPr>
              <w:t>gender</w:t>
            </w:r>
            <w:r w:rsidRPr="00874EAF">
              <w:rPr>
                <w:rFonts w:cs="Arial"/>
                <w:sz w:val="22"/>
                <w:szCs w:val="22"/>
              </w:rPr>
              <w:t xml:space="preserve">, </w:t>
            </w:r>
          </w:p>
          <w:p w:rsidR="00E00A26" w:rsidRPr="00874EAF" w:rsidRDefault="00E00A26" w:rsidP="00E00A26">
            <w:pPr>
              <w:numPr>
                <w:ilvl w:val="0"/>
                <w:numId w:val="1"/>
              </w:numPr>
              <w:rPr>
                <w:rFonts w:cs="Arial"/>
                <w:sz w:val="22"/>
                <w:szCs w:val="22"/>
              </w:rPr>
            </w:pPr>
            <w:r w:rsidRPr="00874EAF">
              <w:rPr>
                <w:rFonts w:cs="Arial"/>
                <w:sz w:val="22"/>
                <w:szCs w:val="22"/>
              </w:rPr>
              <w:t xml:space="preserve">gender reassignment, </w:t>
            </w:r>
          </w:p>
          <w:p w:rsidR="00E00A26" w:rsidRPr="00874EAF" w:rsidRDefault="00E00A26" w:rsidP="00E00A26">
            <w:pPr>
              <w:numPr>
                <w:ilvl w:val="0"/>
                <w:numId w:val="1"/>
              </w:numPr>
              <w:rPr>
                <w:rFonts w:cs="Arial"/>
                <w:sz w:val="22"/>
                <w:szCs w:val="22"/>
              </w:rPr>
            </w:pPr>
            <w:r w:rsidRPr="00874EAF">
              <w:rPr>
                <w:rFonts w:cs="Arial"/>
                <w:sz w:val="22"/>
                <w:szCs w:val="22"/>
              </w:rPr>
              <w:t>sexual orientation</w:t>
            </w:r>
          </w:p>
          <w:p w:rsidR="00E00A26" w:rsidRPr="00874EAF" w:rsidRDefault="00E00A26" w:rsidP="00E00A26">
            <w:pPr>
              <w:numPr>
                <w:ilvl w:val="0"/>
                <w:numId w:val="1"/>
              </w:numPr>
              <w:rPr>
                <w:rFonts w:cs="Arial"/>
                <w:sz w:val="22"/>
                <w:szCs w:val="22"/>
              </w:rPr>
            </w:pPr>
            <w:r w:rsidRPr="00874EAF">
              <w:rPr>
                <w:rFonts w:cs="Arial"/>
                <w:sz w:val="22"/>
                <w:szCs w:val="22"/>
              </w:rPr>
              <w:t xml:space="preserve">marriage and civil partnership, </w:t>
            </w:r>
          </w:p>
          <w:p w:rsidR="00E00A26" w:rsidRPr="00874EAF" w:rsidRDefault="00E00A26" w:rsidP="00E00A26">
            <w:pPr>
              <w:numPr>
                <w:ilvl w:val="0"/>
                <w:numId w:val="1"/>
              </w:numPr>
              <w:rPr>
                <w:rFonts w:cs="Arial"/>
                <w:sz w:val="22"/>
                <w:szCs w:val="22"/>
              </w:rPr>
            </w:pPr>
            <w:r w:rsidRPr="00874EAF">
              <w:rPr>
                <w:rFonts w:cs="Arial"/>
                <w:sz w:val="22"/>
                <w:szCs w:val="22"/>
              </w:rPr>
              <w:t xml:space="preserve">pregnancy and maternity, </w:t>
            </w:r>
          </w:p>
          <w:p w:rsidR="00E00A26" w:rsidRPr="00874EAF" w:rsidRDefault="00E00A26" w:rsidP="003E60B1">
            <w:pPr>
              <w:ind w:left="720"/>
              <w:rPr>
                <w:rFonts w:cs="Arial"/>
                <w:szCs w:val="24"/>
              </w:rPr>
            </w:pPr>
          </w:p>
        </w:tc>
        <w:tc>
          <w:tcPr>
            <w:tcW w:w="3505" w:type="dxa"/>
            <w:shd w:val="clear" w:color="auto" w:fill="C0C0C0"/>
          </w:tcPr>
          <w:p w:rsidR="00E00A26" w:rsidRDefault="00E00A26" w:rsidP="003E60B1">
            <w:pPr>
              <w:rPr>
                <w:sz w:val="22"/>
              </w:rPr>
            </w:pPr>
          </w:p>
          <w:p w:rsidR="00E00A26" w:rsidRDefault="00E00A26" w:rsidP="003E60B1">
            <w:pPr>
              <w:rPr>
                <w:sz w:val="22"/>
              </w:rPr>
            </w:pPr>
            <w:r>
              <w:rPr>
                <w:sz w:val="22"/>
              </w:rPr>
              <w:t>Do you intend to set up your own consultation?  If so, please list the main issues that you wish to address if the consultation is planned; or if consultation has been completed, please note the outcome(s) of consultation.</w:t>
            </w:r>
          </w:p>
          <w:p w:rsidR="00E00A26" w:rsidRDefault="00E00A26" w:rsidP="003E60B1">
            <w:pPr>
              <w:rPr>
                <w:sz w:val="22"/>
              </w:rPr>
            </w:pPr>
          </w:p>
        </w:tc>
      </w:tr>
      <w:tr w:rsidR="00E00A26" w:rsidTr="00284C11">
        <w:tc>
          <w:tcPr>
            <w:tcW w:w="7300" w:type="dxa"/>
          </w:tcPr>
          <w:p w:rsidR="00CB2A86" w:rsidRPr="00CB2A86" w:rsidRDefault="00CB2A86" w:rsidP="00CB2A86">
            <w:pPr>
              <w:rPr>
                <w:sz w:val="22"/>
              </w:rPr>
            </w:pPr>
            <w:r w:rsidRPr="00CB2A86">
              <w:rPr>
                <w:sz w:val="22"/>
              </w:rPr>
              <w:t>The strategy is based on multiple sources of reference, including</w:t>
            </w:r>
          </w:p>
          <w:p w:rsidR="00CB2A86" w:rsidRPr="00CB2A86" w:rsidRDefault="00CB2A86" w:rsidP="00CB2A86">
            <w:pPr>
              <w:rPr>
                <w:sz w:val="22"/>
              </w:rPr>
            </w:pPr>
            <w:r>
              <w:rPr>
                <w:sz w:val="22"/>
              </w:rPr>
              <w:t xml:space="preserve">• </w:t>
            </w:r>
            <w:r w:rsidRPr="00CB2A86">
              <w:rPr>
                <w:sz w:val="22"/>
              </w:rPr>
              <w:t>Cushman and Wakefield’s “Recovery Readiness: A How-To Guide for Re-opening Your Workplace”</w:t>
            </w:r>
          </w:p>
          <w:p w:rsidR="00CB2A86" w:rsidRPr="00CB2A86" w:rsidRDefault="009213B7" w:rsidP="00CB2A86">
            <w:pPr>
              <w:rPr>
                <w:sz w:val="22"/>
              </w:rPr>
            </w:pPr>
            <w:r>
              <w:rPr>
                <w:sz w:val="22"/>
              </w:rPr>
              <w:t xml:space="preserve">• </w:t>
            </w:r>
            <w:r w:rsidR="00CB2A86" w:rsidRPr="00CB2A86">
              <w:rPr>
                <w:sz w:val="22"/>
              </w:rPr>
              <w:t>(https://info.cushmanwakefield.com/l/263412/2020-04- 20/2lpnkx),</w:t>
            </w:r>
          </w:p>
          <w:p w:rsidR="00CB2A86" w:rsidRPr="00CB2A86" w:rsidRDefault="00CB2A86" w:rsidP="00CB2A86">
            <w:pPr>
              <w:rPr>
                <w:sz w:val="22"/>
              </w:rPr>
            </w:pPr>
            <w:r>
              <w:rPr>
                <w:sz w:val="22"/>
              </w:rPr>
              <w:t xml:space="preserve">• </w:t>
            </w:r>
            <w:r w:rsidRPr="00CB2A86">
              <w:rPr>
                <w:sz w:val="22"/>
              </w:rPr>
              <w:t>Knight Frank’s “COVID-19 Office Re-Occupancy Roadmap” (www.knightfrank.co.uk/blog/2020/04/20/covid19-officereoccupancy-roadmap),</w:t>
            </w:r>
          </w:p>
          <w:p w:rsidR="00CB2A86" w:rsidRPr="00CB2A86" w:rsidRDefault="00CB2A86" w:rsidP="00CB2A86">
            <w:pPr>
              <w:rPr>
                <w:sz w:val="22"/>
              </w:rPr>
            </w:pPr>
            <w:r>
              <w:rPr>
                <w:sz w:val="22"/>
              </w:rPr>
              <w:t xml:space="preserve">• </w:t>
            </w:r>
            <w:r w:rsidRPr="00CB2A86">
              <w:rPr>
                <w:sz w:val="22"/>
              </w:rPr>
              <w:t>Building Owners and Managers Association (BOMA) International’s Guidance Document “Getting Back to Work: Preparing Buildings for Re-Entry amid Covid-19” (www.boma.org/BOMA/Research-Resources/3-BOMASpaces/Newsroom/Press_Room/2020/Getting_Back_to_Work.as px),</w:t>
            </w:r>
          </w:p>
          <w:p w:rsidR="00CB2A86" w:rsidRPr="00CB2A86" w:rsidRDefault="00CB2A86" w:rsidP="00CB2A86">
            <w:pPr>
              <w:rPr>
                <w:sz w:val="22"/>
              </w:rPr>
            </w:pPr>
            <w:r>
              <w:rPr>
                <w:sz w:val="22"/>
              </w:rPr>
              <w:t xml:space="preserve">• </w:t>
            </w:r>
            <w:r w:rsidRPr="00CB2A86">
              <w:rPr>
                <w:sz w:val="22"/>
              </w:rPr>
              <w:t>GCC social distancing in the workplace guidance</w:t>
            </w:r>
          </w:p>
          <w:p w:rsidR="00CB2A86" w:rsidRPr="00CB2A86" w:rsidRDefault="00CB2A86" w:rsidP="00CB2A86">
            <w:pPr>
              <w:rPr>
                <w:sz w:val="22"/>
              </w:rPr>
            </w:pPr>
            <w:r>
              <w:rPr>
                <w:sz w:val="22"/>
              </w:rPr>
              <w:t xml:space="preserve">• </w:t>
            </w:r>
            <w:r w:rsidRPr="00CB2A86">
              <w:rPr>
                <w:sz w:val="22"/>
              </w:rPr>
              <w:t>Discussions with Trade Unions</w:t>
            </w:r>
          </w:p>
          <w:p w:rsidR="00CB2A86" w:rsidRPr="00CB2A86" w:rsidRDefault="00CB2A86" w:rsidP="00CB2A86">
            <w:pPr>
              <w:rPr>
                <w:sz w:val="22"/>
              </w:rPr>
            </w:pPr>
            <w:r>
              <w:rPr>
                <w:sz w:val="22"/>
              </w:rPr>
              <w:t xml:space="preserve">• </w:t>
            </w:r>
            <w:r w:rsidRPr="00CB2A86">
              <w:rPr>
                <w:sz w:val="22"/>
              </w:rPr>
              <w:t xml:space="preserve">Discussions with </w:t>
            </w:r>
            <w:r>
              <w:rPr>
                <w:sz w:val="22"/>
              </w:rPr>
              <w:t>ASN Schools</w:t>
            </w:r>
          </w:p>
          <w:p w:rsidR="00CB2A86" w:rsidRPr="00CB2A86" w:rsidRDefault="00CB2A86" w:rsidP="00CB2A86">
            <w:pPr>
              <w:rPr>
                <w:sz w:val="22"/>
              </w:rPr>
            </w:pPr>
            <w:r>
              <w:rPr>
                <w:sz w:val="22"/>
              </w:rPr>
              <w:t xml:space="preserve">• </w:t>
            </w:r>
            <w:r w:rsidRPr="00CB2A86">
              <w:rPr>
                <w:sz w:val="22"/>
              </w:rPr>
              <w:t>Coronavirus (COVID-19) Phase 3: guidance on reopening early learning and childcare services www.gov.scot/publications/coronavirus-covid-19-phase-3- guidance-on-reopening-early-learning-and-childcare-services}</w:t>
            </w:r>
          </w:p>
          <w:p w:rsidR="00CB2A86" w:rsidRPr="00CB2A86" w:rsidRDefault="00CB2A86" w:rsidP="00CB2A86">
            <w:pPr>
              <w:rPr>
                <w:sz w:val="22"/>
              </w:rPr>
            </w:pPr>
            <w:r>
              <w:rPr>
                <w:sz w:val="22"/>
              </w:rPr>
              <w:t xml:space="preserve">• </w:t>
            </w:r>
            <w:r w:rsidRPr="00CB2A86">
              <w:rPr>
                <w:sz w:val="22"/>
              </w:rPr>
              <w:t>Scottish and UK Government guidance Scottish Government COVID-19 Testing Information www.gov.scot/publications/coronavirus-covid-19- test-trace-isolate-support/</w:t>
            </w:r>
          </w:p>
          <w:p w:rsidR="00E00A26" w:rsidRDefault="00CB2A86" w:rsidP="003E60B1">
            <w:pPr>
              <w:rPr>
                <w:sz w:val="22"/>
              </w:rPr>
            </w:pPr>
            <w:r>
              <w:rPr>
                <w:sz w:val="22"/>
              </w:rPr>
              <w:t xml:space="preserve">• </w:t>
            </w:r>
            <w:r w:rsidRPr="00CB2A86">
              <w:rPr>
                <w:sz w:val="22"/>
              </w:rPr>
              <w:t>Guidance from Glasgow City Council Education Services – Citywide Childcare needs</w:t>
            </w:r>
          </w:p>
          <w:p w:rsidR="00E00A26" w:rsidRDefault="00E00A26" w:rsidP="003E60B1">
            <w:pPr>
              <w:rPr>
                <w:sz w:val="22"/>
              </w:rPr>
            </w:pPr>
          </w:p>
        </w:tc>
        <w:tc>
          <w:tcPr>
            <w:tcW w:w="3753" w:type="dxa"/>
          </w:tcPr>
          <w:p w:rsidR="00CB2A86" w:rsidRDefault="00CB2A86" w:rsidP="00CB2A86">
            <w:pPr>
              <w:rPr>
                <w:sz w:val="22"/>
              </w:rPr>
            </w:pPr>
            <w:bookmarkStart w:id="0" w:name="_GoBack"/>
          </w:p>
          <w:p w:rsidR="00CB2A86" w:rsidRDefault="00CB2A86" w:rsidP="00CB2A86">
            <w:pPr>
              <w:rPr>
                <w:sz w:val="22"/>
              </w:rPr>
            </w:pPr>
          </w:p>
          <w:p w:rsidR="00CB2A86" w:rsidRDefault="00CB2A86" w:rsidP="00CB2A86">
            <w:pPr>
              <w:rPr>
                <w:sz w:val="22"/>
              </w:rPr>
            </w:pPr>
          </w:p>
          <w:p w:rsidR="00CB2A86" w:rsidRDefault="00CB2A86" w:rsidP="00CB2A86">
            <w:pPr>
              <w:rPr>
                <w:sz w:val="22"/>
              </w:rPr>
            </w:pPr>
          </w:p>
          <w:p w:rsidR="00CB2A86" w:rsidRDefault="00CB2A86" w:rsidP="00CB2A86">
            <w:pPr>
              <w:rPr>
                <w:sz w:val="22"/>
              </w:rPr>
            </w:pPr>
          </w:p>
          <w:p w:rsidR="00CB2A86" w:rsidRDefault="00CB2A86" w:rsidP="00CB2A86">
            <w:pPr>
              <w:rPr>
                <w:sz w:val="22"/>
              </w:rPr>
            </w:pPr>
          </w:p>
          <w:p w:rsidR="00CB2A86" w:rsidRDefault="00CB2A86" w:rsidP="00CB2A86">
            <w:pPr>
              <w:rPr>
                <w:sz w:val="22"/>
              </w:rPr>
            </w:pPr>
          </w:p>
          <w:p w:rsidR="00CB2A86" w:rsidRDefault="00CB2A86" w:rsidP="00CB2A86">
            <w:pPr>
              <w:rPr>
                <w:sz w:val="22"/>
              </w:rPr>
            </w:pPr>
          </w:p>
          <w:p w:rsidR="00CB2A86" w:rsidRDefault="00CB2A86" w:rsidP="00CB2A86">
            <w:pPr>
              <w:rPr>
                <w:sz w:val="22"/>
              </w:rPr>
            </w:pPr>
          </w:p>
          <w:p w:rsidR="00CB2A86" w:rsidRDefault="00CB2A86" w:rsidP="00CB2A86">
            <w:pPr>
              <w:rPr>
                <w:sz w:val="22"/>
              </w:rPr>
            </w:pPr>
          </w:p>
          <w:p w:rsidR="00CB2A86" w:rsidRDefault="00CB2A86" w:rsidP="00CB2A86">
            <w:pPr>
              <w:rPr>
                <w:sz w:val="22"/>
              </w:rPr>
            </w:pPr>
          </w:p>
          <w:p w:rsidR="00CB2A86" w:rsidRDefault="00CB2A86" w:rsidP="00CB2A86">
            <w:pPr>
              <w:rPr>
                <w:sz w:val="22"/>
              </w:rPr>
            </w:pPr>
          </w:p>
          <w:p w:rsidR="00CB2A86" w:rsidRDefault="00CB2A86" w:rsidP="00CB2A86">
            <w:pPr>
              <w:rPr>
                <w:sz w:val="22"/>
              </w:rPr>
            </w:pPr>
          </w:p>
          <w:p w:rsidR="00CB2A86" w:rsidRDefault="00CB2A86" w:rsidP="00CB2A86">
            <w:pPr>
              <w:rPr>
                <w:sz w:val="22"/>
              </w:rPr>
            </w:pPr>
          </w:p>
          <w:bookmarkEnd w:id="0"/>
          <w:p w:rsidR="00CB2A86" w:rsidRPr="00CB2A86" w:rsidRDefault="00CB2A86" w:rsidP="00CB2A86">
            <w:pPr>
              <w:rPr>
                <w:sz w:val="22"/>
              </w:rPr>
            </w:pPr>
            <w:r w:rsidRPr="00CB2A86">
              <w:rPr>
                <w:sz w:val="22"/>
              </w:rPr>
              <w:t>Age</w:t>
            </w:r>
          </w:p>
          <w:p w:rsidR="00CB2A86" w:rsidRDefault="00CB2A86" w:rsidP="00CB2A86">
            <w:pPr>
              <w:rPr>
                <w:sz w:val="22"/>
              </w:rPr>
            </w:pPr>
          </w:p>
          <w:p w:rsidR="00CB2A86" w:rsidRPr="00CB2A86" w:rsidRDefault="00CB2A86" w:rsidP="00CB2A86">
            <w:pPr>
              <w:rPr>
                <w:sz w:val="22"/>
              </w:rPr>
            </w:pPr>
          </w:p>
          <w:p w:rsidR="00CB2A86" w:rsidRPr="00CB2A86" w:rsidRDefault="00CB2A86" w:rsidP="00CB2A86">
            <w:pPr>
              <w:rPr>
                <w:sz w:val="22"/>
              </w:rPr>
            </w:pPr>
            <w:r w:rsidRPr="00CB2A86">
              <w:rPr>
                <w:sz w:val="22"/>
              </w:rPr>
              <w:t>Age</w:t>
            </w:r>
          </w:p>
          <w:p w:rsidR="00CB2A86" w:rsidRPr="00CB2A86" w:rsidRDefault="00CB2A86" w:rsidP="00CB2A86">
            <w:pPr>
              <w:rPr>
                <w:sz w:val="22"/>
              </w:rPr>
            </w:pPr>
          </w:p>
          <w:p w:rsidR="00CB2A86" w:rsidRPr="00CB2A86" w:rsidRDefault="00CB2A86" w:rsidP="00CB2A86">
            <w:pPr>
              <w:rPr>
                <w:sz w:val="22"/>
              </w:rPr>
            </w:pPr>
            <w:r>
              <w:rPr>
                <w:sz w:val="22"/>
              </w:rPr>
              <w:t>Age</w:t>
            </w:r>
          </w:p>
          <w:p w:rsidR="00CB2A86" w:rsidRPr="00CB2A86" w:rsidRDefault="00CB2A86" w:rsidP="00CB2A86">
            <w:pPr>
              <w:rPr>
                <w:sz w:val="22"/>
              </w:rPr>
            </w:pPr>
          </w:p>
          <w:p w:rsidR="00CB2A86" w:rsidRPr="00CB2A86" w:rsidRDefault="00CB2A86" w:rsidP="00CB2A86">
            <w:pPr>
              <w:rPr>
                <w:sz w:val="22"/>
              </w:rPr>
            </w:pPr>
            <w:r w:rsidRPr="00CB2A86">
              <w:rPr>
                <w:sz w:val="22"/>
              </w:rPr>
              <w:t>Age</w:t>
            </w:r>
          </w:p>
          <w:p w:rsidR="00CB2A86" w:rsidRPr="00CB2A86" w:rsidRDefault="00CB2A86" w:rsidP="00CB2A86">
            <w:pPr>
              <w:rPr>
                <w:sz w:val="22"/>
              </w:rPr>
            </w:pPr>
          </w:p>
          <w:p w:rsidR="00CB2A86" w:rsidRPr="00CB2A86" w:rsidRDefault="00CB2A86" w:rsidP="00CB2A86">
            <w:pPr>
              <w:rPr>
                <w:sz w:val="22"/>
              </w:rPr>
            </w:pPr>
          </w:p>
          <w:p w:rsidR="00E00A26" w:rsidRDefault="00CB2A86" w:rsidP="00CB2A86">
            <w:pPr>
              <w:rPr>
                <w:sz w:val="22"/>
              </w:rPr>
            </w:pPr>
            <w:r w:rsidRPr="00CB2A86">
              <w:rPr>
                <w:sz w:val="22"/>
              </w:rPr>
              <w:t>Disability</w:t>
            </w:r>
          </w:p>
        </w:tc>
        <w:tc>
          <w:tcPr>
            <w:tcW w:w="3505" w:type="dxa"/>
          </w:tcPr>
          <w:p w:rsidR="00E00A26" w:rsidRDefault="009213B7" w:rsidP="003E60B1">
            <w:pPr>
              <w:rPr>
                <w:sz w:val="22"/>
                <w:szCs w:val="22"/>
              </w:rPr>
            </w:pPr>
            <w:r>
              <w:rPr>
                <w:sz w:val="22"/>
                <w:szCs w:val="22"/>
              </w:rPr>
              <w:t>Glasgow ASN Schools who previously accessed the venue have been consulted with regards to shaping the re-opening plans. There will be internal consultation on the strategy in addition to a review of external available guidance. This will be used to update the strategy with details of best practice and information from public health authorities.</w:t>
            </w:r>
          </w:p>
          <w:p w:rsidR="009213B7" w:rsidRDefault="009213B7" w:rsidP="003E60B1">
            <w:pPr>
              <w:rPr>
                <w:sz w:val="22"/>
                <w:szCs w:val="22"/>
              </w:rPr>
            </w:pPr>
          </w:p>
          <w:p w:rsidR="009213B7" w:rsidRDefault="009213B7" w:rsidP="005F05B9">
            <w:pPr>
              <w:rPr>
                <w:sz w:val="22"/>
              </w:rPr>
            </w:pPr>
            <w:r>
              <w:rPr>
                <w:sz w:val="22"/>
                <w:szCs w:val="22"/>
              </w:rPr>
              <w:t>Engagement and consultation with the young people, parents and carers of the Youth Service will be planned as this service cannot restart due to the indoor space capacity restricting its use.</w:t>
            </w:r>
          </w:p>
        </w:tc>
      </w:tr>
    </w:tbl>
    <w:p w:rsidR="00E00A26" w:rsidRDefault="00E00A26" w:rsidP="00E00A26">
      <w:pPr>
        <w:rPr>
          <w:sz w:val="22"/>
        </w:rPr>
      </w:pPr>
    </w:p>
    <w:p w:rsidR="00E00A26" w:rsidRDefault="00E00A26" w:rsidP="00E00A26">
      <w:pPr>
        <w:pStyle w:val="Heading1"/>
        <w:sectPr w:rsidR="00E00A26" w:rsidSect="002101EA">
          <w:pgSz w:w="16838" w:h="11906" w:orient="landscape" w:code="9"/>
          <w:pgMar w:top="851" w:right="998" w:bottom="1135" w:left="851" w:header="720" w:footer="720" w:gutter="0"/>
          <w:cols w:space="720"/>
        </w:sectPr>
      </w:pPr>
    </w:p>
    <w:p w:rsidR="00E00A26" w:rsidRPr="00B04CFA" w:rsidRDefault="00E00A26" w:rsidP="00E00A26">
      <w:pPr>
        <w:pStyle w:val="Heading1"/>
        <w:numPr>
          <w:ilvl w:val="0"/>
          <w:numId w:val="4"/>
        </w:numPr>
        <w:rPr>
          <w:sz w:val="36"/>
          <w:szCs w:val="36"/>
        </w:rPr>
      </w:pPr>
      <w:r w:rsidRPr="00B04CFA">
        <w:rPr>
          <w:sz w:val="36"/>
          <w:szCs w:val="36"/>
        </w:rPr>
        <w:lastRenderedPageBreak/>
        <w:t>ASSESSMENT &amp; DIFFERENTIAL IMPACTS</w:t>
      </w:r>
    </w:p>
    <w:p w:rsidR="00E00A26" w:rsidRDefault="00E00A26" w:rsidP="00E00A26">
      <w:pPr>
        <w:ind w:left="360"/>
        <w:rPr>
          <w:sz w:val="22"/>
          <w:szCs w:val="22"/>
        </w:rPr>
      </w:pPr>
    </w:p>
    <w:p w:rsidR="00E00A26" w:rsidRPr="00781F6A" w:rsidRDefault="00E00A26" w:rsidP="00E00A26">
      <w:pPr>
        <w:ind w:left="360"/>
        <w:rPr>
          <w:sz w:val="22"/>
          <w:szCs w:val="22"/>
        </w:rPr>
      </w:pPr>
      <w:r>
        <w:rPr>
          <w:sz w:val="22"/>
          <w:szCs w:val="22"/>
        </w:rPr>
        <w:t xml:space="preserve">Use the table below to provide some </w:t>
      </w:r>
      <w:r w:rsidRPr="00077E39">
        <w:rPr>
          <w:b/>
          <w:sz w:val="22"/>
          <w:szCs w:val="22"/>
        </w:rPr>
        <w:t>narrative</w:t>
      </w:r>
      <w:r w:rsidRPr="00781F6A">
        <w:rPr>
          <w:sz w:val="22"/>
          <w:szCs w:val="22"/>
        </w:rPr>
        <w:t xml:space="preserve"> where you think the </w:t>
      </w:r>
      <w:r>
        <w:rPr>
          <w:b/>
          <w:bCs/>
          <w:sz w:val="22"/>
          <w:szCs w:val="28"/>
        </w:rPr>
        <w:t xml:space="preserve">Policy, Project, Service Reform or Budget Option </w:t>
      </w:r>
      <w:r w:rsidRPr="00781F6A">
        <w:rPr>
          <w:sz w:val="22"/>
          <w:szCs w:val="22"/>
        </w:rPr>
        <w:t xml:space="preserve">has either </w:t>
      </w:r>
      <w:r>
        <w:rPr>
          <w:sz w:val="22"/>
          <w:szCs w:val="22"/>
        </w:rPr>
        <w:t xml:space="preserve">a </w:t>
      </w:r>
      <w:r w:rsidRPr="00781F6A">
        <w:rPr>
          <w:sz w:val="22"/>
          <w:szCs w:val="22"/>
        </w:rPr>
        <w:t>positive impact (contributes to promoting equality or improving relations within an equality group)</w:t>
      </w:r>
      <w:r>
        <w:rPr>
          <w:sz w:val="22"/>
          <w:szCs w:val="22"/>
        </w:rPr>
        <w:t xml:space="preserve"> or </w:t>
      </w:r>
      <w:r w:rsidRPr="00781F6A">
        <w:rPr>
          <w:sz w:val="22"/>
          <w:szCs w:val="22"/>
        </w:rPr>
        <w:t xml:space="preserve">a negative impact (could disadvantage them) </w:t>
      </w:r>
      <w:r>
        <w:rPr>
          <w:sz w:val="22"/>
          <w:szCs w:val="22"/>
        </w:rPr>
        <w:t>and note the reason for the change in policy or the reason for policy development</w:t>
      </w:r>
      <w:r w:rsidRPr="00781F6A">
        <w:rPr>
          <w:sz w:val="22"/>
          <w:szCs w:val="22"/>
        </w:rPr>
        <w:t>, based on the evidence you have collated</w:t>
      </w:r>
      <w:r>
        <w:rPr>
          <w:sz w:val="22"/>
          <w:szCs w:val="22"/>
        </w:rPr>
        <w:t>.</w:t>
      </w:r>
    </w:p>
    <w:tbl>
      <w:tblPr>
        <w:tblpPr w:leftFromText="180" w:rightFromText="180" w:vertAnchor="text" w:horzAnchor="margin" w:tblpX="468" w:tblpY="15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222"/>
        <w:gridCol w:w="2915"/>
        <w:gridCol w:w="3260"/>
        <w:gridCol w:w="4394"/>
      </w:tblGrid>
      <w:tr w:rsidR="00E00A26" w:rsidTr="000B3C0F">
        <w:trPr>
          <w:tblHeader/>
        </w:trPr>
        <w:tc>
          <w:tcPr>
            <w:tcW w:w="2088" w:type="dxa"/>
            <w:shd w:val="clear" w:color="auto" w:fill="C0C0C0"/>
          </w:tcPr>
          <w:p w:rsidR="00E00A26" w:rsidRDefault="00E00A26" w:rsidP="003E60B1">
            <w:pPr>
              <w:jc w:val="both"/>
              <w:rPr>
                <w:b/>
                <w:sz w:val="22"/>
              </w:rPr>
            </w:pPr>
          </w:p>
          <w:p w:rsidR="00E00A26" w:rsidRPr="00874EAF" w:rsidRDefault="00E00A26" w:rsidP="003E60B1">
            <w:pPr>
              <w:jc w:val="both"/>
              <w:rPr>
                <w:b/>
                <w:sz w:val="22"/>
              </w:rPr>
            </w:pPr>
            <w:r w:rsidRPr="00874EAF">
              <w:rPr>
                <w:b/>
                <w:sz w:val="22"/>
              </w:rPr>
              <w:t>Protected Characteristic</w:t>
            </w:r>
          </w:p>
        </w:tc>
        <w:tc>
          <w:tcPr>
            <w:tcW w:w="2222" w:type="dxa"/>
            <w:shd w:val="clear" w:color="auto" w:fill="C0C0C0"/>
          </w:tcPr>
          <w:p w:rsidR="00E00A26" w:rsidRDefault="00E00A26" w:rsidP="003E60B1">
            <w:pPr>
              <w:rPr>
                <w:b/>
                <w:sz w:val="22"/>
              </w:rPr>
            </w:pPr>
          </w:p>
          <w:p w:rsidR="00E00A26" w:rsidRPr="0095563E" w:rsidRDefault="00E00A26" w:rsidP="003E60B1">
            <w:pPr>
              <w:rPr>
                <w:b/>
                <w:sz w:val="22"/>
              </w:rPr>
            </w:pPr>
            <w:r w:rsidRPr="0095563E">
              <w:rPr>
                <w:b/>
                <w:sz w:val="22"/>
              </w:rPr>
              <w:t>Specific Characteristics</w:t>
            </w:r>
          </w:p>
        </w:tc>
        <w:tc>
          <w:tcPr>
            <w:tcW w:w="2915" w:type="dxa"/>
            <w:shd w:val="clear" w:color="auto" w:fill="C0C0C0"/>
          </w:tcPr>
          <w:p w:rsidR="00E00A26" w:rsidRDefault="00E00A26" w:rsidP="003E60B1">
            <w:pPr>
              <w:rPr>
                <w:b/>
                <w:sz w:val="22"/>
              </w:rPr>
            </w:pPr>
          </w:p>
          <w:p w:rsidR="00E00A26" w:rsidRDefault="00E00A26" w:rsidP="003E60B1">
            <w:pPr>
              <w:rPr>
                <w:b/>
                <w:sz w:val="22"/>
              </w:rPr>
            </w:pPr>
            <w:r>
              <w:rPr>
                <w:b/>
                <w:sz w:val="22"/>
              </w:rPr>
              <w:t xml:space="preserve">Positive Impact </w:t>
            </w:r>
          </w:p>
          <w:p w:rsidR="00E00A26" w:rsidRPr="00823AE0" w:rsidRDefault="00E00A26" w:rsidP="003E60B1">
            <w:pPr>
              <w:rPr>
                <w:b/>
                <w:sz w:val="22"/>
              </w:rPr>
            </w:pPr>
            <w:r>
              <w:rPr>
                <w:b/>
                <w:sz w:val="22"/>
              </w:rPr>
              <w:t>(</w:t>
            </w:r>
            <w:r w:rsidRPr="00711922">
              <w:rPr>
                <w:b/>
                <w:sz w:val="16"/>
                <w:szCs w:val="16"/>
              </w:rPr>
              <w:t>it could benefit an equality group</w:t>
            </w:r>
            <w:r>
              <w:rPr>
                <w:b/>
                <w:sz w:val="16"/>
                <w:szCs w:val="16"/>
              </w:rPr>
              <w:t>)</w:t>
            </w:r>
          </w:p>
        </w:tc>
        <w:tc>
          <w:tcPr>
            <w:tcW w:w="3260" w:type="dxa"/>
            <w:shd w:val="clear" w:color="auto" w:fill="C0C0C0"/>
          </w:tcPr>
          <w:p w:rsidR="00E00A26" w:rsidRDefault="00E00A26" w:rsidP="003E60B1">
            <w:pPr>
              <w:rPr>
                <w:b/>
                <w:sz w:val="22"/>
              </w:rPr>
            </w:pPr>
          </w:p>
          <w:p w:rsidR="00E00A26" w:rsidRDefault="00E00A26" w:rsidP="003E60B1">
            <w:pPr>
              <w:rPr>
                <w:b/>
                <w:sz w:val="22"/>
              </w:rPr>
            </w:pPr>
            <w:r w:rsidRPr="00823AE0">
              <w:rPr>
                <w:b/>
                <w:sz w:val="22"/>
              </w:rPr>
              <w:t xml:space="preserve">Negative Impact – </w:t>
            </w:r>
          </w:p>
          <w:p w:rsidR="00E00A26" w:rsidRPr="00711922" w:rsidRDefault="00E00A26" w:rsidP="003E60B1">
            <w:pPr>
              <w:rPr>
                <w:b/>
                <w:sz w:val="16"/>
                <w:szCs w:val="16"/>
              </w:rPr>
            </w:pPr>
            <w:r>
              <w:rPr>
                <w:b/>
                <w:sz w:val="16"/>
                <w:szCs w:val="16"/>
              </w:rPr>
              <w:t>(</w:t>
            </w:r>
            <w:r w:rsidRPr="00711922">
              <w:rPr>
                <w:b/>
                <w:sz w:val="16"/>
                <w:szCs w:val="16"/>
              </w:rPr>
              <w:t>it could disadvantage an equality group</w:t>
            </w:r>
            <w:r>
              <w:rPr>
                <w:b/>
                <w:sz w:val="16"/>
                <w:szCs w:val="16"/>
              </w:rPr>
              <w:t>)</w:t>
            </w:r>
          </w:p>
        </w:tc>
        <w:tc>
          <w:tcPr>
            <w:tcW w:w="4394" w:type="dxa"/>
            <w:tcBorders>
              <w:bottom w:val="single" w:sz="4" w:space="0" w:color="auto"/>
            </w:tcBorders>
            <w:shd w:val="clear" w:color="auto" w:fill="C0C0C0"/>
          </w:tcPr>
          <w:p w:rsidR="00E00A26" w:rsidRDefault="00E00A26" w:rsidP="003E60B1">
            <w:pPr>
              <w:rPr>
                <w:b/>
                <w:sz w:val="22"/>
              </w:rPr>
            </w:pPr>
          </w:p>
          <w:p w:rsidR="00E00A26" w:rsidRDefault="00E00A26" w:rsidP="003E60B1">
            <w:pPr>
              <w:rPr>
                <w:b/>
                <w:sz w:val="22"/>
              </w:rPr>
            </w:pPr>
            <w:r>
              <w:rPr>
                <w:b/>
                <w:sz w:val="22"/>
              </w:rPr>
              <w:t xml:space="preserve">Socio Economic / </w:t>
            </w:r>
          </w:p>
          <w:p w:rsidR="00E00A26" w:rsidRPr="00823AE0" w:rsidRDefault="00E00A26" w:rsidP="003E60B1">
            <w:pPr>
              <w:rPr>
                <w:b/>
                <w:sz w:val="22"/>
              </w:rPr>
            </w:pPr>
            <w:r>
              <w:rPr>
                <w:b/>
                <w:sz w:val="22"/>
              </w:rPr>
              <w:t>Human Rights Impacts</w:t>
            </w:r>
          </w:p>
        </w:tc>
      </w:tr>
      <w:tr w:rsidR="00E00A26" w:rsidTr="000B3C0F">
        <w:trPr>
          <w:trHeight w:val="530"/>
        </w:trPr>
        <w:tc>
          <w:tcPr>
            <w:tcW w:w="2088" w:type="dxa"/>
            <w:shd w:val="clear" w:color="auto" w:fill="CCFFFF"/>
            <w:vAlign w:val="center"/>
          </w:tcPr>
          <w:p w:rsidR="00E00A26" w:rsidRPr="00534BCA" w:rsidRDefault="00E00A26" w:rsidP="003E60B1">
            <w:pPr>
              <w:rPr>
                <w:b/>
                <w:sz w:val="22"/>
              </w:rPr>
            </w:pPr>
            <w:r>
              <w:rPr>
                <w:b/>
                <w:sz w:val="22"/>
              </w:rPr>
              <w:t xml:space="preserve">SEX/ </w:t>
            </w:r>
            <w:r w:rsidRPr="00534BCA">
              <w:rPr>
                <w:b/>
                <w:sz w:val="22"/>
              </w:rPr>
              <w:t>GENDER</w:t>
            </w:r>
          </w:p>
        </w:tc>
        <w:tc>
          <w:tcPr>
            <w:tcW w:w="2222" w:type="dxa"/>
            <w:shd w:val="clear" w:color="auto" w:fill="CCFFFF"/>
            <w:vAlign w:val="center"/>
          </w:tcPr>
          <w:p w:rsidR="00E00A26" w:rsidRDefault="00E00A26" w:rsidP="003E60B1">
            <w:pPr>
              <w:rPr>
                <w:sz w:val="22"/>
              </w:rPr>
            </w:pPr>
            <w:r>
              <w:rPr>
                <w:sz w:val="22"/>
              </w:rPr>
              <w:t>Women</w:t>
            </w:r>
          </w:p>
        </w:tc>
        <w:tc>
          <w:tcPr>
            <w:tcW w:w="2915" w:type="dxa"/>
          </w:tcPr>
          <w:p w:rsidR="00E00A26" w:rsidRDefault="009213B7" w:rsidP="009213B7">
            <w:pPr>
              <w:rPr>
                <w:sz w:val="22"/>
              </w:rPr>
            </w:pPr>
            <w:r>
              <w:rPr>
                <w:sz w:val="22"/>
              </w:rPr>
              <w:t xml:space="preserve">Children and young people, Parents, carers and guardians </w:t>
            </w:r>
            <w:r w:rsidRPr="009213B7">
              <w:rPr>
                <w:sz w:val="22"/>
              </w:rPr>
              <w:t xml:space="preserve">requiring </w:t>
            </w:r>
            <w:r>
              <w:rPr>
                <w:sz w:val="22"/>
              </w:rPr>
              <w:t>access</w:t>
            </w:r>
            <w:r w:rsidR="008E00E7">
              <w:rPr>
                <w:sz w:val="22"/>
              </w:rPr>
              <w:t xml:space="preserve"> to</w:t>
            </w:r>
            <w:r>
              <w:rPr>
                <w:sz w:val="22"/>
              </w:rPr>
              <w:t xml:space="preserve"> this service.</w:t>
            </w:r>
          </w:p>
          <w:p w:rsidR="009213B7" w:rsidRDefault="009213B7" w:rsidP="009213B7">
            <w:pPr>
              <w:rPr>
                <w:sz w:val="22"/>
              </w:rPr>
            </w:pPr>
          </w:p>
        </w:tc>
        <w:tc>
          <w:tcPr>
            <w:tcW w:w="3260" w:type="dxa"/>
          </w:tcPr>
          <w:p w:rsidR="00E00A26" w:rsidRDefault="009213B7" w:rsidP="003E60B1">
            <w:pPr>
              <w:rPr>
                <w:sz w:val="22"/>
              </w:rPr>
            </w:pPr>
            <w:r>
              <w:rPr>
                <w:sz w:val="22"/>
              </w:rPr>
              <w:t>Evening Youth Services is not viable due to indoor space capacity doesn’t support physical distancing.</w:t>
            </w:r>
          </w:p>
        </w:tc>
        <w:tc>
          <w:tcPr>
            <w:tcW w:w="4394" w:type="dxa"/>
            <w:shd w:val="clear" w:color="auto" w:fill="FFCC99"/>
          </w:tcPr>
          <w:p w:rsidR="00284C11" w:rsidRDefault="008329DA" w:rsidP="00284C11">
            <w:pPr>
              <w:rPr>
                <w:sz w:val="22"/>
              </w:rPr>
            </w:pPr>
            <w:r w:rsidRPr="00284C11">
              <w:rPr>
                <w:sz w:val="22"/>
              </w:rPr>
              <w:t>Bookings will be taken online and via telephone</w:t>
            </w:r>
            <w:r w:rsidR="0035675E" w:rsidRPr="00284C11">
              <w:rPr>
                <w:sz w:val="22"/>
              </w:rPr>
              <w:t xml:space="preserve"> </w:t>
            </w:r>
            <w:r w:rsidRPr="00284C11">
              <w:rPr>
                <w:sz w:val="22"/>
              </w:rPr>
              <w:t>(during opening hours) thus allowing those who do not have access to the internet or IT devices</w:t>
            </w:r>
            <w:r w:rsidR="008E00E7" w:rsidRPr="00284C11">
              <w:rPr>
                <w:sz w:val="22"/>
              </w:rPr>
              <w:t xml:space="preserve"> to be able to book a play slot.</w:t>
            </w:r>
          </w:p>
          <w:p w:rsidR="00284C11" w:rsidRPr="00284C11" w:rsidRDefault="00284C11" w:rsidP="00284C11">
            <w:pPr>
              <w:rPr>
                <w:sz w:val="22"/>
              </w:rPr>
            </w:pPr>
          </w:p>
          <w:p w:rsidR="00E00A26" w:rsidRDefault="008329DA" w:rsidP="003E60B1">
            <w:pPr>
              <w:rPr>
                <w:sz w:val="22"/>
              </w:rPr>
            </w:pPr>
            <w:r w:rsidRPr="00284C11">
              <w:rPr>
                <w:sz w:val="22"/>
              </w:rPr>
              <w:t>Contact tracing protocols will be in place in line with NHS guidance. Parents/Guardians/Carers will need to supply their name and contact details and some people may not be comfortable with this.</w:t>
            </w:r>
          </w:p>
        </w:tc>
      </w:tr>
      <w:tr w:rsidR="009213B7" w:rsidTr="000B3C0F">
        <w:trPr>
          <w:trHeight w:val="551"/>
        </w:trPr>
        <w:tc>
          <w:tcPr>
            <w:tcW w:w="2088" w:type="dxa"/>
            <w:shd w:val="clear" w:color="auto" w:fill="CCFFFF"/>
          </w:tcPr>
          <w:p w:rsidR="009213B7" w:rsidRPr="00534BCA" w:rsidRDefault="009213B7" w:rsidP="009213B7">
            <w:pPr>
              <w:rPr>
                <w:b/>
                <w:sz w:val="22"/>
              </w:rPr>
            </w:pPr>
          </w:p>
        </w:tc>
        <w:tc>
          <w:tcPr>
            <w:tcW w:w="2222" w:type="dxa"/>
            <w:shd w:val="clear" w:color="auto" w:fill="CCFFFF"/>
            <w:vAlign w:val="center"/>
          </w:tcPr>
          <w:p w:rsidR="009213B7" w:rsidRDefault="009213B7" w:rsidP="009213B7">
            <w:pPr>
              <w:rPr>
                <w:sz w:val="22"/>
              </w:rPr>
            </w:pPr>
            <w:r>
              <w:rPr>
                <w:sz w:val="22"/>
              </w:rPr>
              <w:t>Men</w:t>
            </w:r>
          </w:p>
        </w:tc>
        <w:tc>
          <w:tcPr>
            <w:tcW w:w="2915" w:type="dxa"/>
          </w:tcPr>
          <w:p w:rsidR="009213B7" w:rsidRDefault="009213B7" w:rsidP="009213B7">
            <w:pPr>
              <w:rPr>
                <w:sz w:val="22"/>
              </w:rPr>
            </w:pPr>
            <w:r>
              <w:rPr>
                <w:sz w:val="22"/>
              </w:rPr>
              <w:t xml:space="preserve">Children and young people, Parents, carers and guardians </w:t>
            </w:r>
            <w:r w:rsidRPr="009213B7">
              <w:rPr>
                <w:sz w:val="22"/>
              </w:rPr>
              <w:t xml:space="preserve">requiring </w:t>
            </w:r>
            <w:r>
              <w:rPr>
                <w:sz w:val="22"/>
              </w:rPr>
              <w:t>access this service.</w:t>
            </w:r>
          </w:p>
        </w:tc>
        <w:tc>
          <w:tcPr>
            <w:tcW w:w="3260" w:type="dxa"/>
          </w:tcPr>
          <w:p w:rsidR="009213B7" w:rsidRDefault="009213B7" w:rsidP="009213B7">
            <w:pPr>
              <w:rPr>
                <w:sz w:val="22"/>
              </w:rPr>
            </w:pPr>
            <w:r>
              <w:rPr>
                <w:sz w:val="22"/>
              </w:rPr>
              <w:t>Evening Youth Services is not viable due to indoor space capacity doesn’t support physical distancing.</w:t>
            </w:r>
          </w:p>
        </w:tc>
        <w:tc>
          <w:tcPr>
            <w:tcW w:w="4394" w:type="dxa"/>
            <w:shd w:val="clear" w:color="auto" w:fill="FFCC99"/>
          </w:tcPr>
          <w:p w:rsidR="009213B7" w:rsidRDefault="008E00E7" w:rsidP="009213B7">
            <w:pPr>
              <w:rPr>
                <w:sz w:val="22"/>
              </w:rPr>
            </w:pPr>
            <w:r>
              <w:rPr>
                <w:sz w:val="22"/>
              </w:rPr>
              <w:t>As above</w:t>
            </w:r>
          </w:p>
        </w:tc>
      </w:tr>
      <w:tr w:rsidR="009213B7" w:rsidTr="000B3C0F">
        <w:trPr>
          <w:trHeight w:val="473"/>
        </w:trPr>
        <w:tc>
          <w:tcPr>
            <w:tcW w:w="2088" w:type="dxa"/>
            <w:tcBorders>
              <w:bottom w:val="single" w:sz="4" w:space="0" w:color="auto"/>
            </w:tcBorders>
            <w:shd w:val="clear" w:color="auto" w:fill="CCFFFF"/>
          </w:tcPr>
          <w:p w:rsidR="009213B7" w:rsidRPr="00534BCA" w:rsidRDefault="009213B7" w:rsidP="009213B7">
            <w:pPr>
              <w:rPr>
                <w:b/>
                <w:sz w:val="22"/>
              </w:rPr>
            </w:pPr>
          </w:p>
        </w:tc>
        <w:tc>
          <w:tcPr>
            <w:tcW w:w="2222" w:type="dxa"/>
            <w:tcBorders>
              <w:bottom w:val="single" w:sz="4" w:space="0" w:color="auto"/>
            </w:tcBorders>
            <w:shd w:val="clear" w:color="auto" w:fill="CCFFFF"/>
            <w:vAlign w:val="center"/>
          </w:tcPr>
          <w:p w:rsidR="009213B7" w:rsidRDefault="009213B7" w:rsidP="009213B7">
            <w:pPr>
              <w:rPr>
                <w:sz w:val="22"/>
              </w:rPr>
            </w:pPr>
            <w:r>
              <w:rPr>
                <w:sz w:val="22"/>
              </w:rPr>
              <w:t>Transgender</w:t>
            </w:r>
          </w:p>
        </w:tc>
        <w:tc>
          <w:tcPr>
            <w:tcW w:w="2915" w:type="dxa"/>
          </w:tcPr>
          <w:p w:rsidR="009213B7" w:rsidRDefault="009213B7" w:rsidP="009213B7">
            <w:pPr>
              <w:rPr>
                <w:sz w:val="22"/>
              </w:rPr>
            </w:pPr>
            <w:r>
              <w:rPr>
                <w:sz w:val="22"/>
              </w:rPr>
              <w:t xml:space="preserve">Children and young people, Parents, carers and guardians </w:t>
            </w:r>
            <w:r w:rsidRPr="009213B7">
              <w:rPr>
                <w:sz w:val="22"/>
              </w:rPr>
              <w:t xml:space="preserve">requiring </w:t>
            </w:r>
            <w:r>
              <w:rPr>
                <w:sz w:val="22"/>
              </w:rPr>
              <w:t xml:space="preserve">access </w:t>
            </w:r>
            <w:r w:rsidR="008E00E7">
              <w:rPr>
                <w:sz w:val="22"/>
              </w:rPr>
              <w:t xml:space="preserve">to </w:t>
            </w:r>
            <w:r>
              <w:rPr>
                <w:sz w:val="22"/>
              </w:rPr>
              <w:t>this service.</w:t>
            </w:r>
          </w:p>
          <w:p w:rsidR="009213B7" w:rsidRDefault="009213B7" w:rsidP="009213B7">
            <w:pPr>
              <w:rPr>
                <w:sz w:val="22"/>
              </w:rPr>
            </w:pPr>
            <w:r>
              <w:rPr>
                <w:sz w:val="22"/>
              </w:rPr>
              <w:t>Glasgow ASN Schools requiring access to enhance their offer.</w:t>
            </w:r>
          </w:p>
        </w:tc>
        <w:tc>
          <w:tcPr>
            <w:tcW w:w="3260" w:type="dxa"/>
          </w:tcPr>
          <w:p w:rsidR="009213B7" w:rsidRDefault="009213B7" w:rsidP="009213B7">
            <w:pPr>
              <w:rPr>
                <w:sz w:val="22"/>
              </w:rPr>
            </w:pPr>
            <w:r>
              <w:rPr>
                <w:sz w:val="22"/>
              </w:rPr>
              <w:t>Evening Youth Services is not viable due to indoor space capacity doesn’t support physical distancing.</w:t>
            </w:r>
          </w:p>
        </w:tc>
        <w:tc>
          <w:tcPr>
            <w:tcW w:w="4394" w:type="dxa"/>
            <w:tcBorders>
              <w:bottom w:val="single" w:sz="4" w:space="0" w:color="auto"/>
            </w:tcBorders>
            <w:shd w:val="clear" w:color="auto" w:fill="FFCC99"/>
          </w:tcPr>
          <w:p w:rsidR="009213B7" w:rsidRDefault="008E00E7" w:rsidP="009213B7">
            <w:pPr>
              <w:rPr>
                <w:sz w:val="22"/>
              </w:rPr>
            </w:pPr>
            <w:r>
              <w:rPr>
                <w:sz w:val="22"/>
              </w:rPr>
              <w:t>As above</w:t>
            </w:r>
          </w:p>
        </w:tc>
      </w:tr>
      <w:tr w:rsidR="009213B7" w:rsidTr="000B3C0F">
        <w:tc>
          <w:tcPr>
            <w:tcW w:w="14879" w:type="dxa"/>
            <w:gridSpan w:val="5"/>
            <w:shd w:val="clear" w:color="auto" w:fill="auto"/>
          </w:tcPr>
          <w:p w:rsidR="009213B7" w:rsidRPr="00CD7794" w:rsidRDefault="009213B7" w:rsidP="009213B7">
            <w:pPr>
              <w:rPr>
                <w:sz w:val="18"/>
                <w:szCs w:val="18"/>
              </w:rPr>
            </w:pPr>
          </w:p>
        </w:tc>
      </w:tr>
      <w:tr w:rsidR="009213B7" w:rsidTr="000B3C0F">
        <w:trPr>
          <w:trHeight w:val="399"/>
        </w:trPr>
        <w:tc>
          <w:tcPr>
            <w:tcW w:w="2088" w:type="dxa"/>
            <w:shd w:val="clear" w:color="auto" w:fill="CCFFFF"/>
            <w:vAlign w:val="center"/>
          </w:tcPr>
          <w:p w:rsidR="009213B7" w:rsidRPr="00AE6831" w:rsidRDefault="009213B7" w:rsidP="009213B7">
            <w:pPr>
              <w:rPr>
                <w:b/>
                <w:sz w:val="22"/>
                <w:szCs w:val="22"/>
              </w:rPr>
            </w:pPr>
            <w:r w:rsidRPr="00AE6831">
              <w:rPr>
                <w:b/>
                <w:sz w:val="22"/>
                <w:szCs w:val="22"/>
              </w:rPr>
              <w:t>RACE*</w:t>
            </w:r>
          </w:p>
        </w:tc>
        <w:tc>
          <w:tcPr>
            <w:tcW w:w="2222" w:type="dxa"/>
            <w:shd w:val="clear" w:color="auto" w:fill="CCFFFF"/>
            <w:vAlign w:val="center"/>
          </w:tcPr>
          <w:p w:rsidR="009213B7" w:rsidRDefault="009213B7" w:rsidP="009213B7">
            <w:pPr>
              <w:rPr>
                <w:sz w:val="22"/>
              </w:rPr>
            </w:pPr>
            <w:r>
              <w:rPr>
                <w:sz w:val="22"/>
              </w:rPr>
              <w:t>White</w:t>
            </w:r>
          </w:p>
        </w:tc>
        <w:tc>
          <w:tcPr>
            <w:tcW w:w="2915" w:type="dxa"/>
          </w:tcPr>
          <w:p w:rsidR="009213B7" w:rsidRDefault="008E00E7" w:rsidP="009213B7">
            <w:pPr>
              <w:rPr>
                <w:sz w:val="22"/>
              </w:rPr>
            </w:pPr>
            <w:r>
              <w:rPr>
                <w:sz w:val="22"/>
              </w:rPr>
              <w:t xml:space="preserve">Children and young people, Parents, carers and guardians </w:t>
            </w:r>
            <w:r w:rsidRPr="009213B7">
              <w:rPr>
                <w:sz w:val="22"/>
              </w:rPr>
              <w:t xml:space="preserve">requiring </w:t>
            </w:r>
            <w:r>
              <w:rPr>
                <w:sz w:val="22"/>
              </w:rPr>
              <w:t>access to this service.</w:t>
            </w:r>
          </w:p>
        </w:tc>
        <w:tc>
          <w:tcPr>
            <w:tcW w:w="3260" w:type="dxa"/>
          </w:tcPr>
          <w:p w:rsidR="009213B7" w:rsidRDefault="009213B7" w:rsidP="009213B7">
            <w:pPr>
              <w:rPr>
                <w:sz w:val="22"/>
              </w:rPr>
            </w:pPr>
            <w:r w:rsidRPr="009213B7">
              <w:rPr>
                <w:sz w:val="22"/>
              </w:rPr>
              <w:t>Evening Youth Services is not viable due to indoor space capacity doesn’t support physical distancing.</w:t>
            </w:r>
          </w:p>
        </w:tc>
        <w:tc>
          <w:tcPr>
            <w:tcW w:w="4394" w:type="dxa"/>
            <w:shd w:val="clear" w:color="auto" w:fill="FFCC99"/>
          </w:tcPr>
          <w:p w:rsidR="009213B7" w:rsidRDefault="008E00E7" w:rsidP="009213B7">
            <w:pPr>
              <w:rPr>
                <w:sz w:val="22"/>
              </w:rPr>
            </w:pPr>
            <w:r>
              <w:rPr>
                <w:sz w:val="22"/>
              </w:rPr>
              <w:t>As above</w:t>
            </w:r>
          </w:p>
        </w:tc>
      </w:tr>
      <w:tr w:rsidR="009213B7" w:rsidTr="000B3C0F">
        <w:trPr>
          <w:trHeight w:val="449"/>
        </w:trPr>
        <w:tc>
          <w:tcPr>
            <w:tcW w:w="2088" w:type="dxa"/>
            <w:vMerge w:val="restart"/>
            <w:shd w:val="clear" w:color="auto" w:fill="CCFFFF"/>
          </w:tcPr>
          <w:p w:rsidR="009213B7" w:rsidRDefault="009213B7" w:rsidP="009213B7">
            <w:pPr>
              <w:rPr>
                <w:i/>
                <w:sz w:val="20"/>
              </w:rPr>
            </w:pPr>
            <w:r w:rsidRPr="00B55E10">
              <w:rPr>
                <w:i/>
                <w:sz w:val="20"/>
              </w:rPr>
              <w:t xml:space="preserve">Further information on the breakdown below each of these headings, as per census, is available </w:t>
            </w:r>
            <w:hyperlink r:id="rId13" w:history="1">
              <w:r w:rsidRPr="00B55E10">
                <w:rPr>
                  <w:rStyle w:val="Hyperlink"/>
                  <w:i/>
                  <w:sz w:val="20"/>
                </w:rPr>
                <w:t>here.</w:t>
              </w:r>
            </w:hyperlink>
          </w:p>
          <w:p w:rsidR="009213B7" w:rsidRDefault="009213B7" w:rsidP="009213B7">
            <w:pPr>
              <w:rPr>
                <w:i/>
                <w:sz w:val="20"/>
              </w:rPr>
            </w:pPr>
          </w:p>
          <w:p w:rsidR="009213B7" w:rsidRPr="00FC051D" w:rsidRDefault="009213B7" w:rsidP="009213B7">
            <w:pPr>
              <w:rPr>
                <w:b/>
                <w:i/>
                <w:sz w:val="20"/>
              </w:rPr>
            </w:pPr>
            <w:r w:rsidRPr="00FC051D">
              <w:rPr>
                <w:i/>
                <w:sz w:val="20"/>
              </w:rPr>
              <w:t>For example Asian includes Chinese, Pakistani and Indian etc</w:t>
            </w:r>
          </w:p>
        </w:tc>
        <w:tc>
          <w:tcPr>
            <w:tcW w:w="2222" w:type="dxa"/>
            <w:shd w:val="clear" w:color="auto" w:fill="CCFFFF"/>
            <w:vAlign w:val="center"/>
          </w:tcPr>
          <w:p w:rsidR="009213B7" w:rsidRDefault="009213B7" w:rsidP="009213B7">
            <w:pPr>
              <w:rPr>
                <w:sz w:val="22"/>
              </w:rPr>
            </w:pPr>
            <w:r>
              <w:rPr>
                <w:sz w:val="22"/>
              </w:rPr>
              <w:t>Mixed or Multiple Ethnic Groups</w:t>
            </w:r>
          </w:p>
        </w:tc>
        <w:tc>
          <w:tcPr>
            <w:tcW w:w="2915" w:type="dxa"/>
          </w:tcPr>
          <w:p w:rsidR="009213B7" w:rsidRDefault="008E00E7" w:rsidP="009213B7">
            <w:pPr>
              <w:rPr>
                <w:sz w:val="22"/>
              </w:rPr>
            </w:pPr>
            <w:r>
              <w:rPr>
                <w:sz w:val="22"/>
              </w:rPr>
              <w:t>As above</w:t>
            </w:r>
          </w:p>
        </w:tc>
        <w:tc>
          <w:tcPr>
            <w:tcW w:w="3260" w:type="dxa"/>
          </w:tcPr>
          <w:p w:rsidR="009213B7" w:rsidRDefault="009213B7" w:rsidP="009213B7">
            <w:pPr>
              <w:rPr>
                <w:sz w:val="22"/>
              </w:rPr>
            </w:pPr>
            <w:r w:rsidRPr="009213B7">
              <w:rPr>
                <w:sz w:val="22"/>
              </w:rPr>
              <w:t>Evening Youth Services is not viable due to indoor space capacity doesn’t support physical distancing.</w:t>
            </w:r>
          </w:p>
        </w:tc>
        <w:tc>
          <w:tcPr>
            <w:tcW w:w="4394" w:type="dxa"/>
            <w:shd w:val="clear" w:color="auto" w:fill="FFCC99"/>
          </w:tcPr>
          <w:p w:rsidR="009213B7" w:rsidRDefault="008E00E7" w:rsidP="009213B7">
            <w:pPr>
              <w:rPr>
                <w:sz w:val="22"/>
              </w:rPr>
            </w:pPr>
            <w:r>
              <w:rPr>
                <w:sz w:val="22"/>
              </w:rPr>
              <w:t>As above</w:t>
            </w:r>
          </w:p>
        </w:tc>
      </w:tr>
      <w:tr w:rsidR="009213B7" w:rsidTr="000B3C0F">
        <w:trPr>
          <w:trHeight w:val="499"/>
        </w:trPr>
        <w:tc>
          <w:tcPr>
            <w:tcW w:w="2088" w:type="dxa"/>
            <w:vMerge/>
            <w:shd w:val="clear" w:color="auto" w:fill="CCFFFF"/>
          </w:tcPr>
          <w:p w:rsidR="009213B7" w:rsidRPr="00534BCA" w:rsidRDefault="009213B7" w:rsidP="009213B7">
            <w:pPr>
              <w:rPr>
                <w:b/>
                <w:sz w:val="22"/>
              </w:rPr>
            </w:pPr>
          </w:p>
        </w:tc>
        <w:tc>
          <w:tcPr>
            <w:tcW w:w="2222" w:type="dxa"/>
            <w:shd w:val="clear" w:color="auto" w:fill="CCFFFF"/>
            <w:vAlign w:val="center"/>
          </w:tcPr>
          <w:p w:rsidR="009213B7" w:rsidRDefault="009213B7" w:rsidP="009213B7">
            <w:pPr>
              <w:rPr>
                <w:sz w:val="22"/>
              </w:rPr>
            </w:pPr>
            <w:r>
              <w:rPr>
                <w:sz w:val="22"/>
              </w:rPr>
              <w:t>Asian</w:t>
            </w:r>
          </w:p>
        </w:tc>
        <w:tc>
          <w:tcPr>
            <w:tcW w:w="2915" w:type="dxa"/>
          </w:tcPr>
          <w:p w:rsidR="009213B7" w:rsidRDefault="008E00E7" w:rsidP="009213B7">
            <w:pPr>
              <w:rPr>
                <w:sz w:val="22"/>
              </w:rPr>
            </w:pPr>
            <w:r>
              <w:rPr>
                <w:sz w:val="22"/>
              </w:rPr>
              <w:t>As above</w:t>
            </w:r>
          </w:p>
        </w:tc>
        <w:tc>
          <w:tcPr>
            <w:tcW w:w="3260" w:type="dxa"/>
          </w:tcPr>
          <w:p w:rsidR="009213B7" w:rsidRDefault="009213B7" w:rsidP="009213B7">
            <w:pPr>
              <w:rPr>
                <w:sz w:val="22"/>
              </w:rPr>
            </w:pPr>
            <w:r w:rsidRPr="009213B7">
              <w:rPr>
                <w:sz w:val="22"/>
              </w:rPr>
              <w:t>Evening Youth Services is not viable due to indoor space capacity doesn’t support physical distancing.</w:t>
            </w:r>
          </w:p>
        </w:tc>
        <w:tc>
          <w:tcPr>
            <w:tcW w:w="4394" w:type="dxa"/>
            <w:shd w:val="clear" w:color="auto" w:fill="FFCC99"/>
          </w:tcPr>
          <w:p w:rsidR="009213B7" w:rsidRDefault="008E00E7" w:rsidP="009213B7">
            <w:pPr>
              <w:rPr>
                <w:sz w:val="22"/>
              </w:rPr>
            </w:pPr>
            <w:r>
              <w:rPr>
                <w:sz w:val="22"/>
              </w:rPr>
              <w:t>As above</w:t>
            </w:r>
          </w:p>
        </w:tc>
      </w:tr>
      <w:tr w:rsidR="009213B7" w:rsidTr="000B3C0F">
        <w:trPr>
          <w:trHeight w:val="548"/>
        </w:trPr>
        <w:tc>
          <w:tcPr>
            <w:tcW w:w="2088" w:type="dxa"/>
            <w:vMerge/>
            <w:shd w:val="clear" w:color="auto" w:fill="CCFFFF"/>
          </w:tcPr>
          <w:p w:rsidR="009213B7" w:rsidRPr="00534BCA" w:rsidRDefault="009213B7" w:rsidP="009213B7">
            <w:pPr>
              <w:rPr>
                <w:b/>
                <w:sz w:val="22"/>
              </w:rPr>
            </w:pPr>
          </w:p>
        </w:tc>
        <w:tc>
          <w:tcPr>
            <w:tcW w:w="2222" w:type="dxa"/>
            <w:shd w:val="clear" w:color="auto" w:fill="CCFFFF"/>
            <w:vAlign w:val="center"/>
          </w:tcPr>
          <w:p w:rsidR="009213B7" w:rsidRDefault="009213B7" w:rsidP="009213B7">
            <w:pPr>
              <w:rPr>
                <w:sz w:val="22"/>
              </w:rPr>
            </w:pPr>
            <w:r>
              <w:rPr>
                <w:sz w:val="22"/>
              </w:rPr>
              <w:t>African</w:t>
            </w:r>
          </w:p>
        </w:tc>
        <w:tc>
          <w:tcPr>
            <w:tcW w:w="2915" w:type="dxa"/>
          </w:tcPr>
          <w:p w:rsidR="009213B7" w:rsidRDefault="008E00E7" w:rsidP="009213B7">
            <w:pPr>
              <w:rPr>
                <w:sz w:val="22"/>
              </w:rPr>
            </w:pPr>
            <w:r>
              <w:rPr>
                <w:sz w:val="22"/>
              </w:rPr>
              <w:t>As above</w:t>
            </w:r>
          </w:p>
        </w:tc>
        <w:tc>
          <w:tcPr>
            <w:tcW w:w="3260" w:type="dxa"/>
          </w:tcPr>
          <w:p w:rsidR="009213B7" w:rsidRDefault="009213B7" w:rsidP="009213B7">
            <w:pPr>
              <w:rPr>
                <w:sz w:val="22"/>
              </w:rPr>
            </w:pPr>
            <w:r w:rsidRPr="009213B7">
              <w:rPr>
                <w:sz w:val="22"/>
              </w:rPr>
              <w:t>Evening Youth Services is not viable due to indoor space capacity doesn’t support physical distancing.</w:t>
            </w:r>
          </w:p>
        </w:tc>
        <w:tc>
          <w:tcPr>
            <w:tcW w:w="4394" w:type="dxa"/>
            <w:shd w:val="clear" w:color="auto" w:fill="FFCC99"/>
          </w:tcPr>
          <w:p w:rsidR="009213B7" w:rsidRDefault="008E00E7" w:rsidP="009213B7">
            <w:pPr>
              <w:rPr>
                <w:sz w:val="22"/>
              </w:rPr>
            </w:pPr>
            <w:r>
              <w:rPr>
                <w:sz w:val="22"/>
              </w:rPr>
              <w:t>As above</w:t>
            </w:r>
          </w:p>
        </w:tc>
      </w:tr>
      <w:tr w:rsidR="009213B7" w:rsidTr="000B3C0F">
        <w:trPr>
          <w:trHeight w:val="512"/>
        </w:trPr>
        <w:tc>
          <w:tcPr>
            <w:tcW w:w="2088" w:type="dxa"/>
            <w:vMerge/>
            <w:shd w:val="clear" w:color="auto" w:fill="CCFFFF"/>
          </w:tcPr>
          <w:p w:rsidR="009213B7" w:rsidRPr="00534BCA" w:rsidRDefault="009213B7" w:rsidP="009213B7">
            <w:pPr>
              <w:rPr>
                <w:b/>
                <w:sz w:val="22"/>
              </w:rPr>
            </w:pPr>
          </w:p>
        </w:tc>
        <w:tc>
          <w:tcPr>
            <w:tcW w:w="2222" w:type="dxa"/>
            <w:shd w:val="clear" w:color="auto" w:fill="CCFFFF"/>
            <w:vAlign w:val="center"/>
          </w:tcPr>
          <w:p w:rsidR="009213B7" w:rsidRDefault="009213B7" w:rsidP="009213B7">
            <w:pPr>
              <w:rPr>
                <w:sz w:val="22"/>
              </w:rPr>
            </w:pPr>
            <w:r>
              <w:rPr>
                <w:sz w:val="22"/>
              </w:rPr>
              <w:t xml:space="preserve">Caribbean or Black </w:t>
            </w:r>
          </w:p>
        </w:tc>
        <w:tc>
          <w:tcPr>
            <w:tcW w:w="2915" w:type="dxa"/>
          </w:tcPr>
          <w:p w:rsidR="009213B7" w:rsidRDefault="008E00E7" w:rsidP="009213B7">
            <w:pPr>
              <w:rPr>
                <w:sz w:val="22"/>
              </w:rPr>
            </w:pPr>
            <w:r>
              <w:rPr>
                <w:sz w:val="22"/>
              </w:rPr>
              <w:t>As above</w:t>
            </w:r>
          </w:p>
        </w:tc>
        <w:tc>
          <w:tcPr>
            <w:tcW w:w="3260" w:type="dxa"/>
          </w:tcPr>
          <w:p w:rsidR="009213B7" w:rsidRDefault="009213B7" w:rsidP="009213B7">
            <w:pPr>
              <w:rPr>
                <w:sz w:val="22"/>
              </w:rPr>
            </w:pPr>
            <w:r w:rsidRPr="009213B7">
              <w:rPr>
                <w:sz w:val="22"/>
              </w:rPr>
              <w:t>Evening Youth Services is not viable due to indoor space capacity doesn’t support physical distancing.</w:t>
            </w:r>
          </w:p>
        </w:tc>
        <w:tc>
          <w:tcPr>
            <w:tcW w:w="4394" w:type="dxa"/>
            <w:shd w:val="clear" w:color="auto" w:fill="FFCC99"/>
          </w:tcPr>
          <w:p w:rsidR="009213B7" w:rsidRDefault="008E00E7" w:rsidP="009213B7">
            <w:pPr>
              <w:rPr>
                <w:sz w:val="22"/>
              </w:rPr>
            </w:pPr>
            <w:r>
              <w:rPr>
                <w:sz w:val="22"/>
              </w:rPr>
              <w:t>As above</w:t>
            </w:r>
          </w:p>
        </w:tc>
      </w:tr>
      <w:tr w:rsidR="009213B7" w:rsidTr="000B3C0F">
        <w:trPr>
          <w:trHeight w:val="562"/>
        </w:trPr>
        <w:tc>
          <w:tcPr>
            <w:tcW w:w="2088" w:type="dxa"/>
            <w:vMerge/>
            <w:shd w:val="clear" w:color="auto" w:fill="CCFFFF"/>
          </w:tcPr>
          <w:p w:rsidR="009213B7" w:rsidRPr="00534BCA" w:rsidRDefault="009213B7" w:rsidP="009213B7">
            <w:pPr>
              <w:rPr>
                <w:b/>
                <w:sz w:val="22"/>
              </w:rPr>
            </w:pPr>
          </w:p>
        </w:tc>
        <w:tc>
          <w:tcPr>
            <w:tcW w:w="2222" w:type="dxa"/>
            <w:shd w:val="clear" w:color="auto" w:fill="CCFFFF"/>
            <w:vAlign w:val="center"/>
          </w:tcPr>
          <w:p w:rsidR="009213B7" w:rsidRDefault="009213B7" w:rsidP="009213B7">
            <w:pPr>
              <w:rPr>
                <w:sz w:val="22"/>
              </w:rPr>
            </w:pPr>
            <w:r>
              <w:rPr>
                <w:sz w:val="22"/>
              </w:rPr>
              <w:t>Other Ethnic Group</w:t>
            </w:r>
          </w:p>
        </w:tc>
        <w:tc>
          <w:tcPr>
            <w:tcW w:w="2915" w:type="dxa"/>
          </w:tcPr>
          <w:p w:rsidR="009213B7" w:rsidRDefault="008E00E7" w:rsidP="009213B7">
            <w:pPr>
              <w:rPr>
                <w:sz w:val="22"/>
              </w:rPr>
            </w:pPr>
            <w:r>
              <w:rPr>
                <w:sz w:val="22"/>
              </w:rPr>
              <w:t>As above</w:t>
            </w:r>
          </w:p>
        </w:tc>
        <w:tc>
          <w:tcPr>
            <w:tcW w:w="3260" w:type="dxa"/>
          </w:tcPr>
          <w:p w:rsidR="009213B7" w:rsidRDefault="009213B7" w:rsidP="009213B7">
            <w:pPr>
              <w:rPr>
                <w:sz w:val="22"/>
              </w:rPr>
            </w:pPr>
            <w:r w:rsidRPr="009213B7">
              <w:rPr>
                <w:sz w:val="22"/>
              </w:rPr>
              <w:t>Evening Youth Services is not viable due to indoor space capacity doesn’t support physical distancing.</w:t>
            </w:r>
          </w:p>
        </w:tc>
        <w:tc>
          <w:tcPr>
            <w:tcW w:w="4394" w:type="dxa"/>
            <w:shd w:val="clear" w:color="auto" w:fill="FFCC99"/>
          </w:tcPr>
          <w:p w:rsidR="009213B7" w:rsidRDefault="008E00E7" w:rsidP="009213B7">
            <w:pPr>
              <w:rPr>
                <w:sz w:val="22"/>
              </w:rPr>
            </w:pPr>
            <w:r>
              <w:rPr>
                <w:sz w:val="22"/>
              </w:rPr>
              <w:t>As above</w:t>
            </w:r>
          </w:p>
        </w:tc>
      </w:tr>
      <w:tr w:rsidR="009213B7" w:rsidTr="000B3C0F">
        <w:tc>
          <w:tcPr>
            <w:tcW w:w="14879" w:type="dxa"/>
            <w:gridSpan w:val="5"/>
            <w:shd w:val="clear" w:color="auto" w:fill="auto"/>
          </w:tcPr>
          <w:p w:rsidR="009213B7" w:rsidRPr="00CD7794" w:rsidRDefault="009213B7" w:rsidP="009213B7">
            <w:pPr>
              <w:rPr>
                <w:sz w:val="18"/>
                <w:szCs w:val="18"/>
              </w:rPr>
            </w:pPr>
          </w:p>
        </w:tc>
      </w:tr>
      <w:tr w:rsidR="009213B7" w:rsidTr="000B3C0F">
        <w:trPr>
          <w:trHeight w:val="3813"/>
        </w:trPr>
        <w:tc>
          <w:tcPr>
            <w:tcW w:w="2088" w:type="dxa"/>
            <w:shd w:val="clear" w:color="auto" w:fill="CCFFFF"/>
            <w:vAlign w:val="center"/>
          </w:tcPr>
          <w:p w:rsidR="009213B7" w:rsidRPr="00534BCA" w:rsidRDefault="009213B7" w:rsidP="009213B7">
            <w:pPr>
              <w:rPr>
                <w:b/>
                <w:sz w:val="22"/>
              </w:rPr>
            </w:pPr>
            <w:r w:rsidRPr="00534BCA">
              <w:rPr>
                <w:b/>
                <w:sz w:val="22"/>
              </w:rPr>
              <w:t>DISABILITY</w:t>
            </w:r>
          </w:p>
        </w:tc>
        <w:tc>
          <w:tcPr>
            <w:tcW w:w="2222" w:type="dxa"/>
            <w:shd w:val="clear" w:color="auto" w:fill="CCFFFF"/>
            <w:vAlign w:val="center"/>
          </w:tcPr>
          <w:p w:rsidR="009213B7" w:rsidRDefault="009213B7" w:rsidP="009213B7">
            <w:pPr>
              <w:rPr>
                <w:sz w:val="22"/>
              </w:rPr>
            </w:pPr>
            <w:r>
              <w:rPr>
                <w:sz w:val="22"/>
              </w:rPr>
              <w:t>Physical disability</w:t>
            </w:r>
          </w:p>
        </w:tc>
        <w:tc>
          <w:tcPr>
            <w:tcW w:w="2915" w:type="dxa"/>
          </w:tcPr>
          <w:p w:rsidR="009213B7" w:rsidRPr="009213B7" w:rsidRDefault="009213B7" w:rsidP="009213B7">
            <w:pPr>
              <w:rPr>
                <w:sz w:val="22"/>
              </w:rPr>
            </w:pPr>
            <w:r w:rsidRPr="009213B7">
              <w:rPr>
                <w:sz w:val="22"/>
              </w:rPr>
              <w:t xml:space="preserve">Children and young people, Parents, carers and guardians requiring access </w:t>
            </w:r>
            <w:r w:rsidR="008E00E7">
              <w:rPr>
                <w:sz w:val="22"/>
              </w:rPr>
              <w:t xml:space="preserve">to </w:t>
            </w:r>
            <w:r w:rsidRPr="009213B7">
              <w:rPr>
                <w:sz w:val="22"/>
              </w:rPr>
              <w:t>this service.</w:t>
            </w:r>
          </w:p>
          <w:p w:rsidR="009213B7" w:rsidRDefault="009213B7" w:rsidP="009213B7">
            <w:pPr>
              <w:rPr>
                <w:sz w:val="22"/>
              </w:rPr>
            </w:pPr>
            <w:r w:rsidRPr="009213B7">
              <w:rPr>
                <w:sz w:val="22"/>
              </w:rPr>
              <w:t>Glasgow ASN Schools requiring access to enhance their offer.</w:t>
            </w:r>
          </w:p>
          <w:p w:rsidR="00FA71CF" w:rsidRPr="00FA71CF" w:rsidRDefault="00FA71CF" w:rsidP="00FA71CF">
            <w:pPr>
              <w:rPr>
                <w:sz w:val="22"/>
              </w:rPr>
            </w:pPr>
          </w:p>
          <w:p w:rsidR="00FA71CF" w:rsidRDefault="00FA71CF" w:rsidP="00FA71CF">
            <w:pPr>
              <w:rPr>
                <w:sz w:val="22"/>
              </w:rPr>
            </w:pPr>
            <w:r w:rsidRPr="00FA71CF">
              <w:rPr>
                <w:sz w:val="22"/>
              </w:rPr>
              <w:t>The guidance seeks to minimise risk to anyone with a physical disability which makes them more at risk to COVID-19. This includes all those in clinically vulnerable groups who may be using the building such as those with underlying health conditions.</w:t>
            </w:r>
          </w:p>
        </w:tc>
        <w:tc>
          <w:tcPr>
            <w:tcW w:w="3260" w:type="dxa"/>
          </w:tcPr>
          <w:p w:rsidR="009213B7" w:rsidRPr="00F405DE" w:rsidRDefault="009213B7" w:rsidP="009213B7">
            <w:pPr>
              <w:rPr>
                <w:sz w:val="22"/>
              </w:rPr>
            </w:pPr>
            <w:r w:rsidRPr="00F405DE">
              <w:rPr>
                <w:sz w:val="22"/>
              </w:rPr>
              <w:t>Considering children with additional needs</w:t>
            </w:r>
          </w:p>
          <w:p w:rsidR="009213B7" w:rsidRPr="00F405DE" w:rsidRDefault="009213B7" w:rsidP="009213B7">
            <w:pPr>
              <w:rPr>
                <w:sz w:val="22"/>
              </w:rPr>
            </w:pPr>
            <w:r w:rsidRPr="00F405DE">
              <w:rPr>
                <w:sz w:val="22"/>
              </w:rPr>
              <w:t>Owners/operators must take into account the requirements of children with additional needs.</w:t>
            </w:r>
          </w:p>
          <w:p w:rsidR="009213B7" w:rsidRPr="00F405DE" w:rsidRDefault="009213B7" w:rsidP="009213B7">
            <w:pPr>
              <w:rPr>
                <w:sz w:val="22"/>
              </w:rPr>
            </w:pPr>
          </w:p>
          <w:p w:rsidR="009213B7" w:rsidRPr="00F405DE" w:rsidRDefault="009213B7" w:rsidP="009213B7">
            <w:pPr>
              <w:rPr>
                <w:sz w:val="22"/>
              </w:rPr>
            </w:pPr>
            <w:r w:rsidRPr="00F405DE">
              <w:rPr>
                <w:sz w:val="22"/>
              </w:rPr>
              <w:t>Issues that are likely to be specific to this group include:</w:t>
            </w:r>
          </w:p>
          <w:p w:rsidR="009213B7" w:rsidRPr="000B3C0F" w:rsidRDefault="009213B7" w:rsidP="000B3C0F">
            <w:pPr>
              <w:pStyle w:val="ListParagraph"/>
              <w:numPr>
                <w:ilvl w:val="0"/>
                <w:numId w:val="10"/>
              </w:numPr>
              <w:rPr>
                <w:rFonts w:ascii="Arial" w:hAnsi="Arial" w:cs="Arial"/>
              </w:rPr>
            </w:pPr>
            <w:r w:rsidRPr="000B3C0F">
              <w:rPr>
                <w:rFonts w:ascii="Arial" w:hAnsi="Arial" w:cs="Arial"/>
              </w:rPr>
              <w:t>an understanding that many need frequent reminders about rules of behaviour in playground settings</w:t>
            </w:r>
          </w:p>
          <w:p w:rsidR="009213B7" w:rsidRPr="000B3C0F" w:rsidRDefault="009213B7" w:rsidP="000B3C0F">
            <w:pPr>
              <w:pStyle w:val="ListParagraph"/>
              <w:numPr>
                <w:ilvl w:val="0"/>
                <w:numId w:val="10"/>
              </w:numPr>
              <w:rPr>
                <w:rFonts w:ascii="Arial" w:hAnsi="Arial" w:cs="Arial"/>
              </w:rPr>
            </w:pPr>
            <w:r w:rsidRPr="000B3C0F">
              <w:rPr>
                <w:rFonts w:ascii="Arial" w:hAnsi="Arial" w:cs="Arial"/>
              </w:rPr>
              <w:t>changes to familiar environments are likely to require longer periods of adjustment</w:t>
            </w:r>
          </w:p>
          <w:p w:rsidR="009213B7" w:rsidRPr="000B3C0F" w:rsidRDefault="009213B7" w:rsidP="000B3C0F">
            <w:pPr>
              <w:pStyle w:val="ListParagraph"/>
              <w:numPr>
                <w:ilvl w:val="0"/>
                <w:numId w:val="10"/>
              </w:numPr>
              <w:rPr>
                <w:rFonts w:ascii="Arial" w:hAnsi="Arial" w:cs="Arial"/>
              </w:rPr>
            </w:pPr>
            <w:r w:rsidRPr="000B3C0F">
              <w:rPr>
                <w:rFonts w:ascii="Arial" w:hAnsi="Arial" w:cs="Arial"/>
              </w:rPr>
              <w:t>children with physical and sensory disabilities may need assistance with moving from one place to the next</w:t>
            </w:r>
          </w:p>
          <w:p w:rsidR="009213B7" w:rsidRPr="000B3C0F" w:rsidRDefault="009213B7" w:rsidP="000B3C0F">
            <w:pPr>
              <w:pStyle w:val="ListParagraph"/>
              <w:numPr>
                <w:ilvl w:val="0"/>
                <w:numId w:val="10"/>
              </w:numPr>
              <w:rPr>
                <w:rFonts w:ascii="Arial" w:hAnsi="Arial" w:cs="Arial"/>
              </w:rPr>
            </w:pPr>
            <w:r w:rsidRPr="000B3C0F">
              <w:rPr>
                <w:rFonts w:ascii="Arial" w:hAnsi="Arial" w:cs="Arial"/>
              </w:rPr>
              <w:t>some children with additional needs such as autism find it difficult to adjust to particular clothing requirements, and therefore may be less willing to use face coverings or similar if requested</w:t>
            </w:r>
          </w:p>
          <w:p w:rsidR="009213B7" w:rsidRPr="000B3C0F" w:rsidRDefault="009213B7" w:rsidP="000B3C0F">
            <w:pPr>
              <w:pStyle w:val="ListParagraph"/>
              <w:numPr>
                <w:ilvl w:val="0"/>
                <w:numId w:val="10"/>
              </w:numPr>
              <w:rPr>
                <w:rFonts w:ascii="Arial" w:hAnsi="Arial" w:cs="Arial"/>
              </w:rPr>
            </w:pPr>
            <w:r w:rsidRPr="000B3C0F">
              <w:rPr>
                <w:rFonts w:ascii="Arial" w:hAnsi="Arial" w:cs="Arial"/>
              </w:rPr>
              <w:t>some additional needs are not evident, such as hearing loss, and may therefore account for non-responsiveness to verbal instruction</w:t>
            </w:r>
          </w:p>
          <w:p w:rsidR="009213B7" w:rsidRPr="000B3C0F" w:rsidRDefault="009213B7" w:rsidP="000B3C0F">
            <w:pPr>
              <w:pStyle w:val="ListParagraph"/>
              <w:numPr>
                <w:ilvl w:val="0"/>
                <w:numId w:val="10"/>
              </w:numPr>
            </w:pPr>
            <w:r w:rsidRPr="000B3C0F">
              <w:rPr>
                <w:rFonts w:ascii="Arial" w:hAnsi="Arial" w:cs="Arial"/>
              </w:rPr>
              <w:t>queuing for apparatus or toilets can be a source of frustration, and the cause of agitation</w:t>
            </w:r>
          </w:p>
        </w:tc>
        <w:tc>
          <w:tcPr>
            <w:tcW w:w="4394" w:type="dxa"/>
            <w:shd w:val="clear" w:color="auto" w:fill="FFCC99"/>
          </w:tcPr>
          <w:p w:rsidR="009213B7" w:rsidRDefault="008E00E7" w:rsidP="009213B7">
            <w:pPr>
              <w:rPr>
                <w:sz w:val="22"/>
              </w:rPr>
            </w:pPr>
            <w:r>
              <w:rPr>
                <w:sz w:val="22"/>
              </w:rPr>
              <w:t>As above</w:t>
            </w:r>
          </w:p>
          <w:p w:rsidR="008E00E7" w:rsidRDefault="008E00E7" w:rsidP="009213B7">
            <w:pPr>
              <w:rPr>
                <w:sz w:val="22"/>
              </w:rPr>
            </w:pPr>
          </w:p>
          <w:p w:rsidR="008E00E7" w:rsidRDefault="008E00E7" w:rsidP="009213B7">
            <w:pPr>
              <w:rPr>
                <w:sz w:val="22"/>
              </w:rPr>
            </w:pPr>
            <w:r>
              <w:rPr>
                <w:rFonts w:eastAsiaTheme="minorHAnsi" w:cs="Arial"/>
                <w:b/>
                <w:bCs/>
                <w:color w:val="000000"/>
                <w:sz w:val="22"/>
                <w:szCs w:val="22"/>
              </w:rPr>
              <w:t xml:space="preserve">The </w:t>
            </w:r>
            <w:r w:rsidRPr="0035675E">
              <w:rPr>
                <w:rFonts w:eastAsiaTheme="minorHAnsi" w:cs="Arial"/>
                <w:b/>
                <w:bCs/>
                <w:color w:val="000000"/>
                <w:sz w:val="22"/>
                <w:szCs w:val="22"/>
              </w:rPr>
              <w:t>United Nations Convention on the Rights of the Child</w:t>
            </w:r>
            <w:r w:rsidRPr="0035675E">
              <w:rPr>
                <w:rFonts w:eastAsiaTheme="minorHAnsi" w:cs="Arial"/>
                <w:color w:val="000000"/>
                <w:sz w:val="22"/>
                <w:szCs w:val="22"/>
              </w:rPr>
              <w:t xml:space="preserve">, </w:t>
            </w:r>
            <w:r w:rsidRPr="0035675E">
              <w:rPr>
                <w:rFonts w:eastAsiaTheme="minorHAnsi" w:cs="Arial"/>
                <w:b/>
                <w:bCs/>
                <w:color w:val="000000"/>
                <w:sz w:val="22"/>
                <w:szCs w:val="22"/>
              </w:rPr>
              <w:t xml:space="preserve">Article 31 </w:t>
            </w:r>
            <w:r w:rsidRPr="0035675E">
              <w:rPr>
                <w:rFonts w:eastAsiaTheme="minorHAnsi" w:cs="Arial"/>
                <w:color w:val="000000"/>
                <w:sz w:val="22"/>
                <w:szCs w:val="22"/>
              </w:rPr>
              <w:t>(leisure, play and culture) Every child has the right to relax, play and take part in a wide range of cultural and artistic activities</w:t>
            </w:r>
            <w:r>
              <w:rPr>
                <w:rFonts w:eastAsiaTheme="minorHAnsi" w:cs="Arial"/>
                <w:color w:val="000000"/>
                <w:sz w:val="22"/>
                <w:szCs w:val="22"/>
              </w:rPr>
              <w:t>: re-opening of Linn Park Adventure Playground will afford more opportunities for play for disabled children</w:t>
            </w:r>
            <w:r w:rsidR="005F05B9">
              <w:rPr>
                <w:rFonts w:eastAsiaTheme="minorHAnsi" w:cs="Arial"/>
                <w:color w:val="000000"/>
                <w:sz w:val="22"/>
                <w:szCs w:val="22"/>
              </w:rPr>
              <w:t>.</w:t>
            </w:r>
          </w:p>
        </w:tc>
      </w:tr>
      <w:tr w:rsidR="009213B7" w:rsidTr="000B3C0F">
        <w:tc>
          <w:tcPr>
            <w:tcW w:w="2088" w:type="dxa"/>
            <w:vMerge w:val="restart"/>
            <w:shd w:val="clear" w:color="auto" w:fill="CCFFFF"/>
          </w:tcPr>
          <w:p w:rsidR="009213B7" w:rsidRPr="0070176D" w:rsidRDefault="009213B7" w:rsidP="009213B7">
            <w:pPr>
              <w:rPr>
                <w:i/>
                <w:sz w:val="20"/>
              </w:rPr>
            </w:pPr>
            <w:r w:rsidRPr="0070176D">
              <w:rPr>
                <w:i/>
                <w:sz w:val="20"/>
              </w:rPr>
              <w:t xml:space="preserve">A definition of disability under the Equality Act 2010 is available </w:t>
            </w:r>
            <w:hyperlink r:id="rId14" w:history="1">
              <w:r w:rsidRPr="0070176D">
                <w:rPr>
                  <w:rStyle w:val="Hyperlink"/>
                  <w:i/>
                  <w:sz w:val="20"/>
                </w:rPr>
                <w:t>here.</w:t>
              </w:r>
            </w:hyperlink>
          </w:p>
        </w:tc>
        <w:tc>
          <w:tcPr>
            <w:tcW w:w="2222" w:type="dxa"/>
            <w:shd w:val="clear" w:color="auto" w:fill="CCFFFF"/>
          </w:tcPr>
          <w:p w:rsidR="009213B7" w:rsidRDefault="009213B7" w:rsidP="009213B7">
            <w:pPr>
              <w:rPr>
                <w:sz w:val="22"/>
              </w:rPr>
            </w:pPr>
            <w:r>
              <w:rPr>
                <w:sz w:val="22"/>
              </w:rPr>
              <w:t>Sensory Impairment</w:t>
            </w:r>
          </w:p>
          <w:p w:rsidR="009213B7" w:rsidRDefault="009213B7" w:rsidP="009213B7">
            <w:pPr>
              <w:rPr>
                <w:sz w:val="22"/>
              </w:rPr>
            </w:pPr>
            <w:r>
              <w:rPr>
                <w:sz w:val="22"/>
              </w:rPr>
              <w:t>(sight, hearing, )</w:t>
            </w:r>
          </w:p>
        </w:tc>
        <w:tc>
          <w:tcPr>
            <w:tcW w:w="2915" w:type="dxa"/>
          </w:tcPr>
          <w:p w:rsidR="00FA71CF" w:rsidRPr="00FA71CF" w:rsidRDefault="00FA71CF" w:rsidP="00FA71CF">
            <w:pPr>
              <w:rPr>
                <w:sz w:val="22"/>
              </w:rPr>
            </w:pPr>
            <w:r w:rsidRPr="00FA71CF">
              <w:rPr>
                <w:sz w:val="22"/>
              </w:rPr>
              <w:t>Children and young people, Parents, carers and guardians requiring access this service.</w:t>
            </w:r>
          </w:p>
          <w:p w:rsidR="00FA71CF" w:rsidRPr="00FA71CF" w:rsidRDefault="00FA71CF" w:rsidP="00FA71CF">
            <w:pPr>
              <w:rPr>
                <w:sz w:val="22"/>
              </w:rPr>
            </w:pPr>
            <w:r w:rsidRPr="00FA71CF">
              <w:rPr>
                <w:sz w:val="22"/>
              </w:rPr>
              <w:t>Glasgow ASN Schools requiring access to enhance their offer.</w:t>
            </w:r>
          </w:p>
          <w:p w:rsidR="00FA71CF" w:rsidRPr="00FA71CF" w:rsidRDefault="00FA71CF" w:rsidP="00FA71CF">
            <w:pPr>
              <w:rPr>
                <w:sz w:val="22"/>
              </w:rPr>
            </w:pPr>
          </w:p>
          <w:p w:rsidR="009213B7" w:rsidRDefault="00FA71CF" w:rsidP="00FA71CF">
            <w:pPr>
              <w:rPr>
                <w:sz w:val="22"/>
              </w:rPr>
            </w:pPr>
            <w:r w:rsidRPr="00FA71CF">
              <w:rPr>
                <w:sz w:val="22"/>
              </w:rPr>
              <w:t>The guidance seeks to minimise risk to anyone with a physical disability which makes them more at risk to COVID-19. This includes all those in clinically vulnerable groups who may be using the building such as those with underlying health conditions.</w:t>
            </w:r>
          </w:p>
        </w:tc>
        <w:tc>
          <w:tcPr>
            <w:tcW w:w="3260" w:type="dxa"/>
          </w:tcPr>
          <w:p w:rsidR="009213B7" w:rsidRDefault="009213B7" w:rsidP="009213B7">
            <w:pPr>
              <w:rPr>
                <w:sz w:val="22"/>
              </w:rPr>
            </w:pPr>
            <w:r>
              <w:rPr>
                <w:sz w:val="22"/>
              </w:rPr>
              <w:t>As above</w:t>
            </w:r>
          </w:p>
          <w:p w:rsidR="009213B7" w:rsidRDefault="009213B7" w:rsidP="009213B7">
            <w:pPr>
              <w:rPr>
                <w:sz w:val="22"/>
              </w:rPr>
            </w:pPr>
          </w:p>
          <w:p w:rsidR="009213B7" w:rsidRDefault="009213B7" w:rsidP="009213B7">
            <w:pPr>
              <w:rPr>
                <w:sz w:val="22"/>
              </w:rPr>
            </w:pPr>
            <w:r w:rsidRPr="009213B7">
              <w:rPr>
                <w:sz w:val="22"/>
              </w:rPr>
              <w:t xml:space="preserve">If staff or </w:t>
            </w:r>
            <w:r>
              <w:rPr>
                <w:sz w:val="22"/>
              </w:rPr>
              <w:t xml:space="preserve">others are </w:t>
            </w:r>
            <w:r w:rsidRPr="009213B7">
              <w:rPr>
                <w:sz w:val="22"/>
              </w:rPr>
              <w:t>wearing masks</w:t>
            </w:r>
            <w:r>
              <w:rPr>
                <w:sz w:val="22"/>
              </w:rPr>
              <w:t xml:space="preserve"> indoors</w:t>
            </w:r>
            <w:r w:rsidRPr="009213B7">
              <w:rPr>
                <w:sz w:val="22"/>
              </w:rPr>
              <w:t>, it may make it more difficult for DEAF people to understand communications if they rely on lip -reading.</w:t>
            </w:r>
          </w:p>
        </w:tc>
        <w:tc>
          <w:tcPr>
            <w:tcW w:w="4394" w:type="dxa"/>
            <w:shd w:val="clear" w:color="auto" w:fill="FFCC99"/>
          </w:tcPr>
          <w:p w:rsidR="00547F18" w:rsidRPr="00547F18" w:rsidRDefault="00547F18" w:rsidP="009213B7">
            <w:pPr>
              <w:rPr>
                <w:rFonts w:eastAsiaTheme="minorHAnsi" w:cs="Arial"/>
                <w:bCs/>
                <w:color w:val="000000"/>
                <w:sz w:val="22"/>
                <w:szCs w:val="22"/>
              </w:rPr>
            </w:pPr>
            <w:r w:rsidRPr="00547F18">
              <w:rPr>
                <w:rFonts w:eastAsiaTheme="minorHAnsi" w:cs="Arial"/>
                <w:bCs/>
                <w:color w:val="000000"/>
                <w:sz w:val="22"/>
                <w:szCs w:val="22"/>
              </w:rPr>
              <w:t>As above</w:t>
            </w:r>
          </w:p>
          <w:p w:rsidR="00547F18" w:rsidRDefault="00547F18" w:rsidP="009213B7">
            <w:pPr>
              <w:rPr>
                <w:rFonts w:eastAsiaTheme="minorHAnsi" w:cs="Arial"/>
                <w:b/>
                <w:bCs/>
                <w:color w:val="000000"/>
                <w:sz w:val="22"/>
                <w:szCs w:val="22"/>
              </w:rPr>
            </w:pPr>
          </w:p>
          <w:p w:rsidR="009213B7" w:rsidRDefault="00547F18" w:rsidP="009213B7">
            <w:pPr>
              <w:rPr>
                <w:sz w:val="22"/>
              </w:rPr>
            </w:pPr>
            <w:r>
              <w:rPr>
                <w:rFonts w:eastAsiaTheme="minorHAnsi" w:cs="Arial"/>
                <w:b/>
                <w:bCs/>
                <w:color w:val="000000"/>
                <w:sz w:val="22"/>
                <w:szCs w:val="22"/>
              </w:rPr>
              <w:t xml:space="preserve">The </w:t>
            </w:r>
            <w:r w:rsidRPr="0035675E">
              <w:rPr>
                <w:rFonts w:eastAsiaTheme="minorHAnsi" w:cs="Arial"/>
                <w:b/>
                <w:bCs/>
                <w:color w:val="000000"/>
                <w:sz w:val="22"/>
                <w:szCs w:val="22"/>
              </w:rPr>
              <w:t>United Nations Convention on the Rights of the Child</w:t>
            </w:r>
            <w:r w:rsidRPr="0035675E">
              <w:rPr>
                <w:rFonts w:eastAsiaTheme="minorHAnsi" w:cs="Arial"/>
                <w:color w:val="000000"/>
                <w:sz w:val="22"/>
                <w:szCs w:val="22"/>
              </w:rPr>
              <w:t xml:space="preserve">, </w:t>
            </w:r>
            <w:r w:rsidRPr="0035675E">
              <w:rPr>
                <w:rFonts w:eastAsiaTheme="minorHAnsi" w:cs="Arial"/>
                <w:b/>
                <w:bCs/>
                <w:color w:val="000000"/>
                <w:sz w:val="22"/>
                <w:szCs w:val="22"/>
              </w:rPr>
              <w:t xml:space="preserve">Article 31 </w:t>
            </w:r>
            <w:r w:rsidRPr="0035675E">
              <w:rPr>
                <w:rFonts w:eastAsiaTheme="minorHAnsi" w:cs="Arial"/>
                <w:color w:val="000000"/>
                <w:sz w:val="22"/>
                <w:szCs w:val="22"/>
              </w:rPr>
              <w:t>(leisure, play and culture) Every child has the right to relax, play and take part in a wide range of cultural and artistic activities</w:t>
            </w:r>
            <w:r>
              <w:rPr>
                <w:rFonts w:eastAsiaTheme="minorHAnsi" w:cs="Arial"/>
                <w:color w:val="000000"/>
                <w:sz w:val="22"/>
                <w:szCs w:val="22"/>
              </w:rPr>
              <w:t>: re-opening of Linn Park Adventure Playground will afford more opportunities for play for disabled children</w:t>
            </w:r>
          </w:p>
        </w:tc>
      </w:tr>
      <w:tr w:rsidR="009213B7" w:rsidTr="000B3C0F">
        <w:trPr>
          <w:trHeight w:val="422"/>
        </w:trPr>
        <w:tc>
          <w:tcPr>
            <w:tcW w:w="2088" w:type="dxa"/>
            <w:vMerge/>
            <w:shd w:val="clear" w:color="auto" w:fill="CCFFFF"/>
          </w:tcPr>
          <w:p w:rsidR="009213B7" w:rsidRPr="00534BCA" w:rsidRDefault="009213B7" w:rsidP="009213B7">
            <w:pPr>
              <w:rPr>
                <w:b/>
                <w:sz w:val="22"/>
              </w:rPr>
            </w:pPr>
          </w:p>
        </w:tc>
        <w:tc>
          <w:tcPr>
            <w:tcW w:w="2222" w:type="dxa"/>
            <w:shd w:val="clear" w:color="auto" w:fill="CCFFFF"/>
            <w:vAlign w:val="center"/>
          </w:tcPr>
          <w:p w:rsidR="009213B7" w:rsidRDefault="009213B7" w:rsidP="009213B7">
            <w:pPr>
              <w:rPr>
                <w:sz w:val="22"/>
              </w:rPr>
            </w:pPr>
            <w:r>
              <w:rPr>
                <w:sz w:val="22"/>
              </w:rPr>
              <w:t xml:space="preserve">Mental Health </w:t>
            </w:r>
          </w:p>
        </w:tc>
        <w:tc>
          <w:tcPr>
            <w:tcW w:w="2915" w:type="dxa"/>
          </w:tcPr>
          <w:p w:rsidR="00FA71CF" w:rsidRPr="00FA71CF" w:rsidRDefault="00FA71CF" w:rsidP="00FA71CF">
            <w:pPr>
              <w:rPr>
                <w:sz w:val="22"/>
              </w:rPr>
            </w:pPr>
            <w:r w:rsidRPr="00FA71CF">
              <w:rPr>
                <w:sz w:val="22"/>
              </w:rPr>
              <w:t>Children and young people, Parents, carers and guardians requiring access this service.</w:t>
            </w:r>
          </w:p>
          <w:p w:rsidR="00FA71CF" w:rsidRPr="00FA71CF" w:rsidRDefault="00FA71CF" w:rsidP="00FA71CF">
            <w:pPr>
              <w:rPr>
                <w:sz w:val="22"/>
              </w:rPr>
            </w:pPr>
          </w:p>
          <w:p w:rsidR="009213B7" w:rsidRDefault="00FA71CF" w:rsidP="00FA71CF">
            <w:pPr>
              <w:rPr>
                <w:sz w:val="22"/>
              </w:rPr>
            </w:pPr>
            <w:r w:rsidRPr="00FA71CF">
              <w:rPr>
                <w:sz w:val="22"/>
              </w:rPr>
              <w:t>The guidance seeks to minimise risk to anyone with a physical disability which makes them more at risk to COVID-19. This includes all those in clinically vulnerable groups who may be using the building such as those with underlying health conditions.</w:t>
            </w:r>
          </w:p>
        </w:tc>
        <w:tc>
          <w:tcPr>
            <w:tcW w:w="3260" w:type="dxa"/>
          </w:tcPr>
          <w:p w:rsidR="009213B7" w:rsidRDefault="009213B7" w:rsidP="009213B7">
            <w:pPr>
              <w:rPr>
                <w:sz w:val="22"/>
              </w:rPr>
            </w:pPr>
            <w:r>
              <w:rPr>
                <w:sz w:val="22"/>
              </w:rPr>
              <w:t>As above</w:t>
            </w:r>
          </w:p>
        </w:tc>
        <w:tc>
          <w:tcPr>
            <w:tcW w:w="4394" w:type="dxa"/>
            <w:shd w:val="clear" w:color="auto" w:fill="FFCC99"/>
          </w:tcPr>
          <w:p w:rsidR="00547F18" w:rsidRPr="00547F18" w:rsidRDefault="00547F18" w:rsidP="00547F18">
            <w:pPr>
              <w:rPr>
                <w:rFonts w:eastAsiaTheme="minorHAnsi" w:cs="Arial"/>
                <w:bCs/>
                <w:color w:val="000000"/>
                <w:sz w:val="22"/>
                <w:szCs w:val="22"/>
              </w:rPr>
            </w:pPr>
            <w:r w:rsidRPr="00547F18">
              <w:rPr>
                <w:rFonts w:eastAsiaTheme="minorHAnsi" w:cs="Arial"/>
                <w:bCs/>
                <w:color w:val="000000"/>
                <w:sz w:val="22"/>
                <w:szCs w:val="22"/>
              </w:rPr>
              <w:t>As above</w:t>
            </w:r>
          </w:p>
          <w:p w:rsidR="00547F18" w:rsidRDefault="00547F18" w:rsidP="00547F18">
            <w:pPr>
              <w:rPr>
                <w:rFonts w:eastAsiaTheme="minorHAnsi" w:cs="Arial"/>
                <w:b/>
                <w:bCs/>
                <w:color w:val="000000"/>
                <w:sz w:val="22"/>
                <w:szCs w:val="22"/>
              </w:rPr>
            </w:pPr>
          </w:p>
          <w:p w:rsidR="009213B7" w:rsidRDefault="00547F18" w:rsidP="00547F18">
            <w:pPr>
              <w:rPr>
                <w:sz w:val="22"/>
              </w:rPr>
            </w:pPr>
            <w:r>
              <w:rPr>
                <w:rFonts w:eastAsiaTheme="minorHAnsi" w:cs="Arial"/>
                <w:b/>
                <w:bCs/>
                <w:color w:val="000000"/>
                <w:sz w:val="22"/>
                <w:szCs w:val="22"/>
              </w:rPr>
              <w:t xml:space="preserve">The </w:t>
            </w:r>
            <w:r w:rsidRPr="0035675E">
              <w:rPr>
                <w:rFonts w:eastAsiaTheme="minorHAnsi" w:cs="Arial"/>
                <w:b/>
                <w:bCs/>
                <w:color w:val="000000"/>
                <w:sz w:val="22"/>
                <w:szCs w:val="22"/>
              </w:rPr>
              <w:t>United Nations Convention on the Rights of the Child</w:t>
            </w:r>
            <w:r w:rsidRPr="0035675E">
              <w:rPr>
                <w:rFonts w:eastAsiaTheme="minorHAnsi" w:cs="Arial"/>
                <w:color w:val="000000"/>
                <w:sz w:val="22"/>
                <w:szCs w:val="22"/>
              </w:rPr>
              <w:t xml:space="preserve">, </w:t>
            </w:r>
            <w:r w:rsidRPr="0035675E">
              <w:rPr>
                <w:rFonts w:eastAsiaTheme="minorHAnsi" w:cs="Arial"/>
                <w:b/>
                <w:bCs/>
                <w:color w:val="000000"/>
                <w:sz w:val="22"/>
                <w:szCs w:val="22"/>
              </w:rPr>
              <w:t xml:space="preserve">Article 31 </w:t>
            </w:r>
            <w:r w:rsidRPr="0035675E">
              <w:rPr>
                <w:rFonts w:eastAsiaTheme="minorHAnsi" w:cs="Arial"/>
                <w:color w:val="000000"/>
                <w:sz w:val="22"/>
                <w:szCs w:val="22"/>
              </w:rPr>
              <w:t>(leisure, play and culture) Every child has the right to relax, play and take part in a wide range of cultural and artistic activities</w:t>
            </w:r>
            <w:r>
              <w:rPr>
                <w:rFonts w:eastAsiaTheme="minorHAnsi" w:cs="Arial"/>
                <w:color w:val="000000"/>
                <w:sz w:val="22"/>
                <w:szCs w:val="22"/>
              </w:rPr>
              <w:t>: re-opening of Linn Park Adventure Playground will afford more opportunities for play for disabled children</w:t>
            </w:r>
          </w:p>
        </w:tc>
      </w:tr>
      <w:tr w:rsidR="009213B7" w:rsidTr="000B3C0F">
        <w:trPr>
          <w:trHeight w:val="557"/>
        </w:trPr>
        <w:tc>
          <w:tcPr>
            <w:tcW w:w="2088" w:type="dxa"/>
            <w:vMerge/>
            <w:shd w:val="clear" w:color="auto" w:fill="CCFFFF"/>
          </w:tcPr>
          <w:p w:rsidR="009213B7" w:rsidRPr="00534BCA" w:rsidRDefault="009213B7" w:rsidP="009213B7">
            <w:pPr>
              <w:rPr>
                <w:b/>
                <w:sz w:val="22"/>
              </w:rPr>
            </w:pPr>
          </w:p>
        </w:tc>
        <w:tc>
          <w:tcPr>
            <w:tcW w:w="2222" w:type="dxa"/>
            <w:shd w:val="clear" w:color="auto" w:fill="CCFFFF"/>
            <w:vAlign w:val="center"/>
          </w:tcPr>
          <w:p w:rsidR="009213B7" w:rsidRDefault="009213B7" w:rsidP="009213B7">
            <w:pPr>
              <w:rPr>
                <w:sz w:val="22"/>
              </w:rPr>
            </w:pPr>
            <w:r>
              <w:rPr>
                <w:sz w:val="22"/>
              </w:rPr>
              <w:t>Learning Disability</w:t>
            </w:r>
          </w:p>
        </w:tc>
        <w:tc>
          <w:tcPr>
            <w:tcW w:w="2915" w:type="dxa"/>
          </w:tcPr>
          <w:p w:rsidR="00FA71CF" w:rsidRPr="00FA71CF" w:rsidRDefault="00FA71CF" w:rsidP="00FA71CF">
            <w:pPr>
              <w:rPr>
                <w:sz w:val="22"/>
              </w:rPr>
            </w:pPr>
            <w:r w:rsidRPr="00FA71CF">
              <w:rPr>
                <w:sz w:val="22"/>
              </w:rPr>
              <w:t>Children and young people, Parents, carers and guardians requiring access this service.</w:t>
            </w:r>
          </w:p>
          <w:p w:rsidR="00FA71CF" w:rsidRPr="00FA71CF" w:rsidRDefault="00FA71CF" w:rsidP="00FA71CF">
            <w:pPr>
              <w:rPr>
                <w:sz w:val="22"/>
              </w:rPr>
            </w:pPr>
          </w:p>
          <w:p w:rsidR="009213B7" w:rsidRDefault="00FA71CF" w:rsidP="00FA71CF">
            <w:pPr>
              <w:rPr>
                <w:sz w:val="22"/>
              </w:rPr>
            </w:pPr>
            <w:r w:rsidRPr="00FA71CF">
              <w:rPr>
                <w:sz w:val="22"/>
              </w:rPr>
              <w:t>The guidance seeks to minimise risk to anyone with a physical disability which makes them more at risk to COVID-19. This includes all those in clinically vulnerable groups who may be using the building such as those with underlying health conditions.</w:t>
            </w:r>
          </w:p>
        </w:tc>
        <w:tc>
          <w:tcPr>
            <w:tcW w:w="3260" w:type="dxa"/>
          </w:tcPr>
          <w:p w:rsidR="009213B7" w:rsidRDefault="009213B7" w:rsidP="009213B7">
            <w:pPr>
              <w:rPr>
                <w:sz w:val="22"/>
              </w:rPr>
            </w:pPr>
            <w:r>
              <w:rPr>
                <w:sz w:val="22"/>
              </w:rPr>
              <w:t>As above</w:t>
            </w:r>
          </w:p>
        </w:tc>
        <w:tc>
          <w:tcPr>
            <w:tcW w:w="4394" w:type="dxa"/>
            <w:shd w:val="clear" w:color="auto" w:fill="FFCC99"/>
          </w:tcPr>
          <w:p w:rsidR="00547F18" w:rsidRPr="00547F18" w:rsidRDefault="00547F18" w:rsidP="00547F18">
            <w:pPr>
              <w:rPr>
                <w:rFonts w:eastAsiaTheme="minorHAnsi" w:cs="Arial"/>
                <w:bCs/>
                <w:color w:val="000000"/>
                <w:sz w:val="22"/>
                <w:szCs w:val="22"/>
              </w:rPr>
            </w:pPr>
            <w:r w:rsidRPr="00547F18">
              <w:rPr>
                <w:rFonts w:eastAsiaTheme="minorHAnsi" w:cs="Arial"/>
                <w:bCs/>
                <w:color w:val="000000"/>
                <w:sz w:val="22"/>
                <w:szCs w:val="22"/>
              </w:rPr>
              <w:t>As above</w:t>
            </w:r>
          </w:p>
          <w:p w:rsidR="00547F18" w:rsidRDefault="00547F18" w:rsidP="00547F18">
            <w:pPr>
              <w:rPr>
                <w:rFonts w:eastAsiaTheme="minorHAnsi" w:cs="Arial"/>
                <w:b/>
                <w:bCs/>
                <w:color w:val="000000"/>
                <w:sz w:val="22"/>
                <w:szCs w:val="22"/>
              </w:rPr>
            </w:pPr>
          </w:p>
          <w:p w:rsidR="009213B7" w:rsidRDefault="00547F18" w:rsidP="00547F18">
            <w:pPr>
              <w:rPr>
                <w:sz w:val="22"/>
              </w:rPr>
            </w:pPr>
            <w:r>
              <w:rPr>
                <w:rFonts w:eastAsiaTheme="minorHAnsi" w:cs="Arial"/>
                <w:b/>
                <w:bCs/>
                <w:color w:val="000000"/>
                <w:sz w:val="22"/>
                <w:szCs w:val="22"/>
              </w:rPr>
              <w:t xml:space="preserve">The </w:t>
            </w:r>
            <w:r w:rsidRPr="0035675E">
              <w:rPr>
                <w:rFonts w:eastAsiaTheme="minorHAnsi" w:cs="Arial"/>
                <w:b/>
                <w:bCs/>
                <w:color w:val="000000"/>
                <w:sz w:val="22"/>
                <w:szCs w:val="22"/>
              </w:rPr>
              <w:t>United Nations Convention on the Rights of the Child</w:t>
            </w:r>
            <w:r w:rsidRPr="0035675E">
              <w:rPr>
                <w:rFonts w:eastAsiaTheme="minorHAnsi" w:cs="Arial"/>
                <w:color w:val="000000"/>
                <w:sz w:val="22"/>
                <w:szCs w:val="22"/>
              </w:rPr>
              <w:t xml:space="preserve">, </w:t>
            </w:r>
            <w:r w:rsidRPr="0035675E">
              <w:rPr>
                <w:rFonts w:eastAsiaTheme="minorHAnsi" w:cs="Arial"/>
                <w:b/>
                <w:bCs/>
                <w:color w:val="000000"/>
                <w:sz w:val="22"/>
                <w:szCs w:val="22"/>
              </w:rPr>
              <w:t xml:space="preserve">Article 31 </w:t>
            </w:r>
            <w:r w:rsidRPr="0035675E">
              <w:rPr>
                <w:rFonts w:eastAsiaTheme="minorHAnsi" w:cs="Arial"/>
                <w:color w:val="000000"/>
                <w:sz w:val="22"/>
                <w:szCs w:val="22"/>
              </w:rPr>
              <w:t>(leisure, play and culture) Every child has the right to relax, play and take part in a wide range of cultural and artistic activities</w:t>
            </w:r>
            <w:r>
              <w:rPr>
                <w:rFonts w:eastAsiaTheme="minorHAnsi" w:cs="Arial"/>
                <w:color w:val="000000"/>
                <w:sz w:val="22"/>
                <w:szCs w:val="22"/>
              </w:rPr>
              <w:t>: re-opening of Linn Park Adventure Playground will afford more opportunities for play for disabled children</w:t>
            </w:r>
          </w:p>
        </w:tc>
      </w:tr>
      <w:tr w:rsidR="009213B7" w:rsidTr="000B3C0F">
        <w:trPr>
          <w:trHeight w:val="452"/>
        </w:trPr>
        <w:tc>
          <w:tcPr>
            <w:tcW w:w="2088" w:type="dxa"/>
            <w:shd w:val="clear" w:color="auto" w:fill="CCFFFF"/>
            <w:vAlign w:val="center"/>
          </w:tcPr>
          <w:p w:rsidR="009213B7" w:rsidRPr="00534BCA" w:rsidRDefault="009213B7" w:rsidP="009213B7">
            <w:pPr>
              <w:rPr>
                <w:b/>
                <w:sz w:val="22"/>
              </w:rPr>
            </w:pPr>
            <w:r w:rsidRPr="00534BCA">
              <w:rPr>
                <w:b/>
                <w:sz w:val="22"/>
              </w:rPr>
              <w:t>LGBT</w:t>
            </w:r>
          </w:p>
        </w:tc>
        <w:tc>
          <w:tcPr>
            <w:tcW w:w="2222" w:type="dxa"/>
            <w:shd w:val="clear" w:color="auto" w:fill="CCFFFF"/>
            <w:vAlign w:val="center"/>
          </w:tcPr>
          <w:p w:rsidR="009213B7" w:rsidRDefault="009213B7" w:rsidP="009213B7">
            <w:pPr>
              <w:rPr>
                <w:sz w:val="22"/>
              </w:rPr>
            </w:pPr>
            <w:r>
              <w:rPr>
                <w:sz w:val="22"/>
              </w:rPr>
              <w:t>Lesbians</w:t>
            </w:r>
          </w:p>
        </w:tc>
        <w:tc>
          <w:tcPr>
            <w:tcW w:w="2915" w:type="dxa"/>
          </w:tcPr>
          <w:p w:rsidR="009213B7" w:rsidRDefault="009213B7" w:rsidP="009213B7">
            <w:pPr>
              <w:rPr>
                <w:sz w:val="22"/>
              </w:rPr>
            </w:pPr>
          </w:p>
        </w:tc>
        <w:tc>
          <w:tcPr>
            <w:tcW w:w="3260" w:type="dxa"/>
          </w:tcPr>
          <w:p w:rsidR="009213B7" w:rsidRDefault="00EA43BC" w:rsidP="009213B7">
            <w:pPr>
              <w:rPr>
                <w:sz w:val="22"/>
              </w:rPr>
            </w:pPr>
            <w:r w:rsidRPr="00EA43BC">
              <w:rPr>
                <w:sz w:val="22"/>
              </w:rPr>
              <w:t>Evening Youth Services is not viable due to indoor space capacity doesn’t support physical distancing.</w:t>
            </w:r>
          </w:p>
        </w:tc>
        <w:tc>
          <w:tcPr>
            <w:tcW w:w="4394" w:type="dxa"/>
            <w:shd w:val="clear" w:color="auto" w:fill="FFCC99"/>
          </w:tcPr>
          <w:p w:rsidR="005F05B9" w:rsidRPr="000B3C0F" w:rsidRDefault="005F05B9" w:rsidP="000B3C0F">
            <w:pPr>
              <w:rPr>
                <w:sz w:val="22"/>
              </w:rPr>
            </w:pPr>
            <w:r w:rsidRPr="000B3C0F">
              <w:rPr>
                <w:sz w:val="22"/>
              </w:rPr>
              <w:t>Bookings will be taken online and via telephone (during opening hours) thus allowing those who do not have access to the internet or IT devices to be able to book a play slot.</w:t>
            </w:r>
          </w:p>
          <w:p w:rsidR="005F05B9" w:rsidRPr="000B3C0F" w:rsidRDefault="005F05B9" w:rsidP="000B3C0F">
            <w:pPr>
              <w:rPr>
                <w:sz w:val="22"/>
              </w:rPr>
            </w:pPr>
          </w:p>
          <w:p w:rsidR="009213B7" w:rsidRDefault="005F05B9" w:rsidP="009213B7">
            <w:pPr>
              <w:rPr>
                <w:sz w:val="22"/>
              </w:rPr>
            </w:pPr>
            <w:r w:rsidRPr="000B3C0F">
              <w:rPr>
                <w:sz w:val="22"/>
              </w:rPr>
              <w:t>Contact tracing protocols will be in place in line with NHS guidance. Parents/Guardians/Carers will need to supply their name and contact details and some people may not be comfortable with this.</w:t>
            </w:r>
          </w:p>
        </w:tc>
      </w:tr>
      <w:tr w:rsidR="009213B7" w:rsidTr="000B3C0F">
        <w:trPr>
          <w:trHeight w:val="502"/>
        </w:trPr>
        <w:tc>
          <w:tcPr>
            <w:tcW w:w="2088" w:type="dxa"/>
            <w:shd w:val="clear" w:color="auto" w:fill="CCFFFF"/>
            <w:vAlign w:val="center"/>
          </w:tcPr>
          <w:p w:rsidR="009213B7" w:rsidRPr="00534BCA" w:rsidRDefault="009213B7" w:rsidP="009213B7">
            <w:pPr>
              <w:rPr>
                <w:b/>
                <w:sz w:val="22"/>
              </w:rPr>
            </w:pPr>
          </w:p>
        </w:tc>
        <w:tc>
          <w:tcPr>
            <w:tcW w:w="2222" w:type="dxa"/>
            <w:shd w:val="clear" w:color="auto" w:fill="CCFFFF"/>
            <w:vAlign w:val="center"/>
          </w:tcPr>
          <w:p w:rsidR="009213B7" w:rsidRDefault="009213B7" w:rsidP="009213B7">
            <w:pPr>
              <w:rPr>
                <w:sz w:val="22"/>
              </w:rPr>
            </w:pPr>
            <w:r>
              <w:rPr>
                <w:sz w:val="22"/>
              </w:rPr>
              <w:t>Gay Men</w:t>
            </w:r>
          </w:p>
        </w:tc>
        <w:tc>
          <w:tcPr>
            <w:tcW w:w="2915" w:type="dxa"/>
          </w:tcPr>
          <w:p w:rsidR="009213B7" w:rsidRDefault="009213B7" w:rsidP="009213B7">
            <w:pPr>
              <w:rPr>
                <w:sz w:val="22"/>
              </w:rPr>
            </w:pPr>
          </w:p>
        </w:tc>
        <w:tc>
          <w:tcPr>
            <w:tcW w:w="3260" w:type="dxa"/>
          </w:tcPr>
          <w:p w:rsidR="009213B7" w:rsidRDefault="00EA43BC" w:rsidP="009213B7">
            <w:pPr>
              <w:rPr>
                <w:sz w:val="22"/>
              </w:rPr>
            </w:pPr>
            <w:r w:rsidRPr="00EA43BC">
              <w:rPr>
                <w:sz w:val="22"/>
              </w:rPr>
              <w:t>Evening Youth Services is not viable due to indoor space capacity doesn’t support physical distancing.</w:t>
            </w:r>
          </w:p>
        </w:tc>
        <w:tc>
          <w:tcPr>
            <w:tcW w:w="4394" w:type="dxa"/>
            <w:shd w:val="clear" w:color="auto" w:fill="FFCC99"/>
          </w:tcPr>
          <w:p w:rsidR="009213B7" w:rsidRPr="000B3C0F" w:rsidRDefault="005F05B9" w:rsidP="005F05B9">
            <w:pPr>
              <w:pStyle w:val="Textbody"/>
              <w:rPr>
                <w:color w:val="000000"/>
                <w:sz w:val="22"/>
                <w:szCs w:val="22"/>
              </w:rPr>
            </w:pPr>
            <w:r>
              <w:rPr>
                <w:color w:val="000000"/>
                <w:sz w:val="22"/>
                <w:szCs w:val="22"/>
              </w:rPr>
              <w:t>As above</w:t>
            </w:r>
          </w:p>
        </w:tc>
      </w:tr>
      <w:tr w:rsidR="009213B7" w:rsidTr="000B3C0F">
        <w:trPr>
          <w:trHeight w:val="551"/>
        </w:trPr>
        <w:tc>
          <w:tcPr>
            <w:tcW w:w="2088" w:type="dxa"/>
            <w:shd w:val="clear" w:color="auto" w:fill="CCFFFF"/>
            <w:vAlign w:val="center"/>
          </w:tcPr>
          <w:p w:rsidR="009213B7" w:rsidRPr="00534BCA" w:rsidRDefault="009213B7" w:rsidP="009213B7">
            <w:pPr>
              <w:rPr>
                <w:b/>
                <w:sz w:val="22"/>
              </w:rPr>
            </w:pPr>
          </w:p>
        </w:tc>
        <w:tc>
          <w:tcPr>
            <w:tcW w:w="2222" w:type="dxa"/>
            <w:shd w:val="clear" w:color="auto" w:fill="CCFFFF"/>
            <w:vAlign w:val="center"/>
          </w:tcPr>
          <w:p w:rsidR="009213B7" w:rsidRDefault="009213B7" w:rsidP="009213B7">
            <w:pPr>
              <w:rPr>
                <w:sz w:val="22"/>
              </w:rPr>
            </w:pPr>
            <w:r>
              <w:rPr>
                <w:sz w:val="22"/>
              </w:rPr>
              <w:t>Bisexual</w:t>
            </w:r>
          </w:p>
        </w:tc>
        <w:tc>
          <w:tcPr>
            <w:tcW w:w="2915" w:type="dxa"/>
          </w:tcPr>
          <w:p w:rsidR="009213B7" w:rsidRDefault="009213B7" w:rsidP="009213B7">
            <w:pPr>
              <w:rPr>
                <w:sz w:val="22"/>
              </w:rPr>
            </w:pPr>
          </w:p>
        </w:tc>
        <w:tc>
          <w:tcPr>
            <w:tcW w:w="3260" w:type="dxa"/>
          </w:tcPr>
          <w:p w:rsidR="009213B7" w:rsidRDefault="00EA43BC" w:rsidP="009213B7">
            <w:pPr>
              <w:rPr>
                <w:sz w:val="22"/>
              </w:rPr>
            </w:pPr>
            <w:r w:rsidRPr="00EA43BC">
              <w:rPr>
                <w:sz w:val="22"/>
              </w:rPr>
              <w:t>Evening Youth Services is not viable due to indoor space capacity doesn’t support physical distancing.</w:t>
            </w:r>
          </w:p>
        </w:tc>
        <w:tc>
          <w:tcPr>
            <w:tcW w:w="4394" w:type="dxa"/>
            <w:shd w:val="clear" w:color="auto" w:fill="FFCC99"/>
          </w:tcPr>
          <w:p w:rsidR="009213B7" w:rsidRDefault="005F05B9" w:rsidP="005F05B9">
            <w:pPr>
              <w:pStyle w:val="Textbody"/>
              <w:rPr>
                <w:sz w:val="22"/>
              </w:rPr>
            </w:pPr>
            <w:r>
              <w:rPr>
                <w:sz w:val="22"/>
              </w:rPr>
              <w:t>As above</w:t>
            </w:r>
          </w:p>
        </w:tc>
      </w:tr>
      <w:tr w:rsidR="009213B7" w:rsidTr="000B3C0F">
        <w:tc>
          <w:tcPr>
            <w:tcW w:w="14879" w:type="dxa"/>
            <w:gridSpan w:val="5"/>
            <w:shd w:val="clear" w:color="auto" w:fill="auto"/>
            <w:vAlign w:val="center"/>
          </w:tcPr>
          <w:p w:rsidR="009213B7" w:rsidRPr="00CD7794" w:rsidRDefault="009213B7" w:rsidP="009213B7">
            <w:pPr>
              <w:rPr>
                <w:sz w:val="18"/>
                <w:szCs w:val="18"/>
              </w:rPr>
            </w:pPr>
          </w:p>
        </w:tc>
      </w:tr>
      <w:tr w:rsidR="009213B7" w:rsidTr="000B3C0F">
        <w:trPr>
          <w:trHeight w:val="490"/>
        </w:trPr>
        <w:tc>
          <w:tcPr>
            <w:tcW w:w="2088" w:type="dxa"/>
            <w:shd w:val="clear" w:color="auto" w:fill="CCFFFF"/>
            <w:vAlign w:val="center"/>
          </w:tcPr>
          <w:p w:rsidR="009213B7" w:rsidRPr="00534BCA" w:rsidRDefault="009213B7" w:rsidP="009213B7">
            <w:pPr>
              <w:rPr>
                <w:b/>
                <w:sz w:val="22"/>
              </w:rPr>
            </w:pPr>
            <w:r w:rsidRPr="00534BCA">
              <w:rPr>
                <w:b/>
                <w:sz w:val="22"/>
              </w:rPr>
              <w:t>AGE</w:t>
            </w:r>
          </w:p>
        </w:tc>
        <w:tc>
          <w:tcPr>
            <w:tcW w:w="2222" w:type="dxa"/>
            <w:shd w:val="clear" w:color="auto" w:fill="CCFFFF"/>
            <w:vAlign w:val="center"/>
          </w:tcPr>
          <w:p w:rsidR="009213B7" w:rsidRDefault="009213B7" w:rsidP="009213B7">
            <w:pPr>
              <w:rPr>
                <w:sz w:val="22"/>
              </w:rPr>
            </w:pPr>
            <w:r>
              <w:rPr>
                <w:sz w:val="22"/>
              </w:rPr>
              <w:t>Older People (60 +)</w:t>
            </w:r>
          </w:p>
        </w:tc>
        <w:tc>
          <w:tcPr>
            <w:tcW w:w="2915" w:type="dxa"/>
          </w:tcPr>
          <w:p w:rsidR="009213B7" w:rsidRDefault="009213B7" w:rsidP="009213B7">
            <w:pPr>
              <w:rPr>
                <w:sz w:val="22"/>
              </w:rPr>
            </w:pPr>
          </w:p>
        </w:tc>
        <w:tc>
          <w:tcPr>
            <w:tcW w:w="3260" w:type="dxa"/>
          </w:tcPr>
          <w:p w:rsidR="009213B7" w:rsidRDefault="00EA43BC" w:rsidP="009213B7">
            <w:pPr>
              <w:rPr>
                <w:sz w:val="22"/>
              </w:rPr>
            </w:pPr>
            <w:r>
              <w:rPr>
                <w:sz w:val="22"/>
              </w:rPr>
              <w:t>N/A</w:t>
            </w:r>
          </w:p>
        </w:tc>
        <w:tc>
          <w:tcPr>
            <w:tcW w:w="4394" w:type="dxa"/>
            <w:shd w:val="clear" w:color="auto" w:fill="FFCC99"/>
          </w:tcPr>
          <w:p w:rsidR="009213B7" w:rsidRDefault="00547F18" w:rsidP="009213B7">
            <w:pPr>
              <w:rPr>
                <w:color w:val="000000"/>
                <w:sz w:val="22"/>
                <w:szCs w:val="22"/>
              </w:rPr>
            </w:pPr>
            <w:r>
              <w:rPr>
                <w:color w:val="000000"/>
                <w:sz w:val="22"/>
                <w:szCs w:val="22"/>
              </w:rPr>
              <w:t>Bookings will be taken online and via telephone (during opening hours) thus allowing those who do not have access to the internet or IT devices to be able to book a play slot</w:t>
            </w:r>
          </w:p>
          <w:p w:rsidR="00547F18" w:rsidRDefault="00547F18" w:rsidP="009213B7">
            <w:pPr>
              <w:rPr>
                <w:color w:val="000000"/>
                <w:sz w:val="22"/>
                <w:szCs w:val="22"/>
              </w:rPr>
            </w:pPr>
          </w:p>
          <w:p w:rsidR="00547F18" w:rsidRPr="000B3C0F" w:rsidRDefault="00547F18" w:rsidP="009213B7">
            <w:r>
              <w:rPr>
                <w:color w:val="000000"/>
                <w:sz w:val="22"/>
                <w:szCs w:val="22"/>
              </w:rPr>
              <w:t>Contact tracing protocols will be in place in line with NHS guidance. Parents/Guardians/Carers will need to supply their name and contact details and some people may not be comfortable with this.</w:t>
            </w:r>
          </w:p>
        </w:tc>
      </w:tr>
      <w:tr w:rsidR="009213B7" w:rsidTr="000B3C0F">
        <w:tc>
          <w:tcPr>
            <w:tcW w:w="2088" w:type="dxa"/>
            <w:shd w:val="clear" w:color="auto" w:fill="CCFFFF"/>
          </w:tcPr>
          <w:p w:rsidR="009213B7" w:rsidRPr="00534BCA" w:rsidRDefault="009213B7" w:rsidP="009213B7">
            <w:pPr>
              <w:rPr>
                <w:b/>
                <w:sz w:val="22"/>
              </w:rPr>
            </w:pPr>
          </w:p>
        </w:tc>
        <w:tc>
          <w:tcPr>
            <w:tcW w:w="2222" w:type="dxa"/>
            <w:shd w:val="clear" w:color="auto" w:fill="CCFFFF"/>
            <w:vAlign w:val="center"/>
          </w:tcPr>
          <w:p w:rsidR="009213B7" w:rsidRDefault="009213B7" w:rsidP="009213B7">
            <w:pPr>
              <w:rPr>
                <w:sz w:val="22"/>
              </w:rPr>
            </w:pPr>
            <w:r>
              <w:rPr>
                <w:sz w:val="22"/>
              </w:rPr>
              <w:t>Younger People (16-25)</w:t>
            </w:r>
          </w:p>
        </w:tc>
        <w:tc>
          <w:tcPr>
            <w:tcW w:w="2915" w:type="dxa"/>
          </w:tcPr>
          <w:p w:rsidR="009213B7" w:rsidRDefault="009213B7" w:rsidP="009213B7">
            <w:pPr>
              <w:rPr>
                <w:sz w:val="22"/>
              </w:rPr>
            </w:pPr>
          </w:p>
        </w:tc>
        <w:tc>
          <w:tcPr>
            <w:tcW w:w="3260" w:type="dxa"/>
          </w:tcPr>
          <w:p w:rsidR="009213B7" w:rsidRDefault="00EA43BC" w:rsidP="009213B7">
            <w:pPr>
              <w:rPr>
                <w:sz w:val="22"/>
              </w:rPr>
            </w:pPr>
            <w:r w:rsidRPr="00EA43BC">
              <w:rPr>
                <w:sz w:val="22"/>
              </w:rPr>
              <w:t>Evening Youth Services is not viable due to indoor space capacity doesn’t support physical distancing.</w:t>
            </w:r>
          </w:p>
        </w:tc>
        <w:tc>
          <w:tcPr>
            <w:tcW w:w="4394" w:type="dxa"/>
            <w:shd w:val="clear" w:color="auto" w:fill="FFCC99"/>
          </w:tcPr>
          <w:p w:rsidR="009213B7" w:rsidRDefault="00547F18" w:rsidP="009213B7">
            <w:pPr>
              <w:rPr>
                <w:color w:val="000000"/>
                <w:sz w:val="22"/>
                <w:szCs w:val="22"/>
              </w:rPr>
            </w:pPr>
            <w:r>
              <w:rPr>
                <w:color w:val="000000"/>
                <w:sz w:val="22"/>
                <w:szCs w:val="22"/>
              </w:rPr>
              <w:t>Bookings will be taken online and via telephone (during opening hours) thus allowing those who do not have access to the internet or IT devices to be able to book a play slot</w:t>
            </w:r>
          </w:p>
          <w:p w:rsidR="00547F18" w:rsidRDefault="00547F18" w:rsidP="009213B7">
            <w:pPr>
              <w:rPr>
                <w:color w:val="000000"/>
                <w:sz w:val="22"/>
                <w:szCs w:val="22"/>
              </w:rPr>
            </w:pPr>
          </w:p>
          <w:p w:rsidR="00547F18" w:rsidRPr="000B3C0F" w:rsidRDefault="00547F18" w:rsidP="009213B7">
            <w:pPr>
              <w:rPr>
                <w:color w:val="000000"/>
                <w:sz w:val="22"/>
                <w:szCs w:val="22"/>
              </w:rPr>
            </w:pPr>
            <w:r>
              <w:rPr>
                <w:color w:val="000000"/>
                <w:sz w:val="22"/>
                <w:szCs w:val="22"/>
              </w:rPr>
              <w:t>Contact tracing protocols will be in place in line with NHS guidance. Parents/Guardians/Carers will need to supply their name and contact details and some people may not be comfortable with this.</w:t>
            </w:r>
          </w:p>
        </w:tc>
      </w:tr>
      <w:tr w:rsidR="009213B7" w:rsidTr="000B3C0F">
        <w:trPr>
          <w:trHeight w:val="591"/>
        </w:trPr>
        <w:tc>
          <w:tcPr>
            <w:tcW w:w="2088" w:type="dxa"/>
            <w:shd w:val="clear" w:color="auto" w:fill="CCFFFF"/>
          </w:tcPr>
          <w:p w:rsidR="009213B7" w:rsidRPr="00534BCA" w:rsidRDefault="009213B7" w:rsidP="009213B7">
            <w:pPr>
              <w:rPr>
                <w:b/>
                <w:sz w:val="22"/>
              </w:rPr>
            </w:pPr>
          </w:p>
        </w:tc>
        <w:tc>
          <w:tcPr>
            <w:tcW w:w="2222" w:type="dxa"/>
            <w:shd w:val="clear" w:color="auto" w:fill="CCFFFF"/>
            <w:vAlign w:val="center"/>
          </w:tcPr>
          <w:p w:rsidR="009213B7" w:rsidRDefault="009213B7" w:rsidP="009213B7">
            <w:pPr>
              <w:rPr>
                <w:sz w:val="22"/>
              </w:rPr>
            </w:pPr>
            <w:r>
              <w:rPr>
                <w:sz w:val="22"/>
              </w:rPr>
              <w:t>Children (0-16)</w:t>
            </w:r>
          </w:p>
        </w:tc>
        <w:tc>
          <w:tcPr>
            <w:tcW w:w="2915" w:type="dxa"/>
          </w:tcPr>
          <w:p w:rsidR="009213B7" w:rsidRDefault="009213B7" w:rsidP="009213B7">
            <w:pPr>
              <w:rPr>
                <w:sz w:val="22"/>
              </w:rPr>
            </w:pPr>
          </w:p>
        </w:tc>
        <w:tc>
          <w:tcPr>
            <w:tcW w:w="3260" w:type="dxa"/>
          </w:tcPr>
          <w:p w:rsidR="009213B7" w:rsidRDefault="00EA43BC" w:rsidP="009213B7">
            <w:pPr>
              <w:rPr>
                <w:sz w:val="22"/>
              </w:rPr>
            </w:pPr>
            <w:r w:rsidRPr="00EA43BC">
              <w:rPr>
                <w:sz w:val="22"/>
              </w:rPr>
              <w:t>Evening Youth Services is not viable due to indoor space capacity doesn’t support physical distancing.</w:t>
            </w:r>
          </w:p>
        </w:tc>
        <w:tc>
          <w:tcPr>
            <w:tcW w:w="4394" w:type="dxa"/>
            <w:shd w:val="clear" w:color="auto" w:fill="FFCC99"/>
          </w:tcPr>
          <w:p w:rsidR="009213B7" w:rsidRDefault="008E00E7" w:rsidP="009213B7">
            <w:pPr>
              <w:rPr>
                <w:sz w:val="22"/>
              </w:rPr>
            </w:pPr>
            <w:r>
              <w:rPr>
                <w:rFonts w:eastAsiaTheme="minorHAnsi" w:cs="Arial"/>
                <w:b/>
                <w:bCs/>
                <w:color w:val="000000"/>
                <w:sz w:val="22"/>
                <w:szCs w:val="22"/>
              </w:rPr>
              <w:t xml:space="preserve">The </w:t>
            </w:r>
            <w:r w:rsidRPr="0035675E">
              <w:rPr>
                <w:rFonts w:eastAsiaTheme="minorHAnsi" w:cs="Arial"/>
                <w:b/>
                <w:bCs/>
                <w:color w:val="000000"/>
                <w:sz w:val="22"/>
                <w:szCs w:val="22"/>
              </w:rPr>
              <w:t>United Nations Convention on the Rights of the Child</w:t>
            </w:r>
            <w:r w:rsidRPr="0035675E">
              <w:rPr>
                <w:rFonts w:eastAsiaTheme="minorHAnsi" w:cs="Arial"/>
                <w:color w:val="000000"/>
                <w:sz w:val="22"/>
                <w:szCs w:val="22"/>
              </w:rPr>
              <w:t xml:space="preserve">, </w:t>
            </w:r>
            <w:r w:rsidRPr="0035675E">
              <w:rPr>
                <w:rFonts w:eastAsiaTheme="minorHAnsi" w:cs="Arial"/>
                <w:b/>
                <w:bCs/>
                <w:color w:val="000000"/>
                <w:sz w:val="22"/>
                <w:szCs w:val="22"/>
              </w:rPr>
              <w:t xml:space="preserve">Article 31 </w:t>
            </w:r>
            <w:r w:rsidRPr="0035675E">
              <w:rPr>
                <w:rFonts w:eastAsiaTheme="minorHAnsi" w:cs="Arial"/>
                <w:color w:val="000000"/>
                <w:sz w:val="22"/>
                <w:szCs w:val="22"/>
              </w:rPr>
              <w:t>(leisure, play and culture) Every child has the right to relax, play and take part in a wide range of cultural and artistic activities</w:t>
            </w:r>
            <w:r>
              <w:rPr>
                <w:rFonts w:eastAsiaTheme="minorHAnsi" w:cs="Arial"/>
                <w:color w:val="000000"/>
                <w:sz w:val="22"/>
                <w:szCs w:val="22"/>
              </w:rPr>
              <w:t>: re-opening of Linn Park Adventure Playground will afford more opportunities for play for disabled children</w:t>
            </w:r>
          </w:p>
        </w:tc>
      </w:tr>
      <w:tr w:rsidR="009213B7" w:rsidTr="000B3C0F">
        <w:tc>
          <w:tcPr>
            <w:tcW w:w="14879" w:type="dxa"/>
            <w:gridSpan w:val="5"/>
            <w:shd w:val="clear" w:color="auto" w:fill="auto"/>
            <w:vAlign w:val="center"/>
          </w:tcPr>
          <w:p w:rsidR="009213B7" w:rsidRPr="00CD7794" w:rsidRDefault="009213B7" w:rsidP="009213B7">
            <w:pPr>
              <w:rPr>
                <w:sz w:val="18"/>
                <w:szCs w:val="18"/>
              </w:rPr>
            </w:pPr>
          </w:p>
        </w:tc>
      </w:tr>
      <w:tr w:rsidR="00EA43BC" w:rsidTr="000B3C0F">
        <w:tc>
          <w:tcPr>
            <w:tcW w:w="2088" w:type="dxa"/>
            <w:shd w:val="clear" w:color="auto" w:fill="CCFFFF"/>
          </w:tcPr>
          <w:p w:rsidR="00EA43BC" w:rsidRPr="0070176D" w:rsidRDefault="00EA43BC" w:rsidP="00EA43BC">
            <w:pPr>
              <w:rPr>
                <w:rFonts w:cs="Arial"/>
                <w:b/>
                <w:sz w:val="22"/>
                <w:szCs w:val="22"/>
              </w:rPr>
            </w:pPr>
            <w:r w:rsidRPr="0070176D">
              <w:rPr>
                <w:rFonts w:cs="Arial"/>
                <w:b/>
                <w:sz w:val="22"/>
                <w:szCs w:val="22"/>
              </w:rPr>
              <w:t xml:space="preserve">MARRIAGE </w:t>
            </w:r>
          </w:p>
          <w:p w:rsidR="00EA43BC" w:rsidRPr="00534BCA" w:rsidRDefault="00EA43BC" w:rsidP="00EA43BC">
            <w:pPr>
              <w:rPr>
                <w:rFonts w:cs="Arial"/>
                <w:b/>
                <w:szCs w:val="24"/>
              </w:rPr>
            </w:pPr>
            <w:r w:rsidRPr="0070176D">
              <w:rPr>
                <w:rFonts w:cs="Arial"/>
                <w:b/>
                <w:sz w:val="22"/>
                <w:szCs w:val="22"/>
              </w:rPr>
              <w:t>&amp; CIVIL PARTNERSHIP</w:t>
            </w:r>
          </w:p>
        </w:tc>
        <w:tc>
          <w:tcPr>
            <w:tcW w:w="2222" w:type="dxa"/>
            <w:shd w:val="clear" w:color="auto" w:fill="CCFFFF"/>
            <w:vAlign w:val="center"/>
          </w:tcPr>
          <w:p w:rsidR="00EA43BC" w:rsidRDefault="00EA43BC" w:rsidP="00EA43BC">
            <w:pPr>
              <w:rPr>
                <w:sz w:val="22"/>
              </w:rPr>
            </w:pPr>
            <w:r>
              <w:rPr>
                <w:sz w:val="22"/>
              </w:rPr>
              <w:t>Women</w:t>
            </w:r>
          </w:p>
        </w:tc>
        <w:tc>
          <w:tcPr>
            <w:tcW w:w="2915" w:type="dxa"/>
            <w:tcBorders>
              <w:top w:val="single" w:sz="4" w:space="0" w:color="000000"/>
              <w:left w:val="single" w:sz="4" w:space="0" w:color="000000"/>
              <w:bottom w:val="single" w:sz="4" w:space="0" w:color="000000"/>
              <w:right w:val="single" w:sz="4" w:space="0" w:color="000000"/>
            </w:tcBorders>
          </w:tcPr>
          <w:p w:rsidR="00EA43BC" w:rsidRPr="007D6CD0" w:rsidRDefault="00EA43BC" w:rsidP="00EA43BC">
            <w:pPr>
              <w:pStyle w:val="Standard"/>
              <w:rPr>
                <w:sz w:val="22"/>
                <w:szCs w:val="22"/>
              </w:rPr>
            </w:pPr>
            <w:r w:rsidRPr="007D6CD0">
              <w:rPr>
                <w:sz w:val="22"/>
                <w:szCs w:val="22"/>
              </w:rPr>
              <w:t>N/A</w:t>
            </w:r>
          </w:p>
        </w:tc>
        <w:tc>
          <w:tcPr>
            <w:tcW w:w="3260" w:type="dxa"/>
            <w:tcBorders>
              <w:top w:val="single" w:sz="4" w:space="0" w:color="000000"/>
              <w:left w:val="single" w:sz="4" w:space="0" w:color="000000"/>
              <w:bottom w:val="single" w:sz="4" w:space="0" w:color="000000"/>
              <w:right w:val="single" w:sz="4" w:space="0" w:color="000000"/>
            </w:tcBorders>
          </w:tcPr>
          <w:p w:rsidR="00EA43BC" w:rsidRPr="007D6CD0" w:rsidRDefault="00EA43BC" w:rsidP="00EA43BC">
            <w:pPr>
              <w:pStyle w:val="Standard"/>
              <w:rPr>
                <w:sz w:val="22"/>
                <w:szCs w:val="22"/>
              </w:rPr>
            </w:pPr>
            <w:r w:rsidRPr="007D6CD0">
              <w:rPr>
                <w:sz w:val="22"/>
                <w:szCs w:val="22"/>
              </w:rPr>
              <w:t>N/A</w:t>
            </w:r>
          </w:p>
        </w:tc>
        <w:tc>
          <w:tcPr>
            <w:tcW w:w="4394" w:type="dxa"/>
            <w:shd w:val="clear" w:color="auto" w:fill="FFCC99"/>
          </w:tcPr>
          <w:p w:rsidR="00EA43BC" w:rsidRDefault="00EA43BC" w:rsidP="00EA43BC">
            <w:pPr>
              <w:rPr>
                <w:sz w:val="22"/>
              </w:rPr>
            </w:pPr>
          </w:p>
        </w:tc>
      </w:tr>
      <w:tr w:rsidR="00EA43BC" w:rsidTr="000B3C0F">
        <w:trPr>
          <w:trHeight w:val="543"/>
        </w:trPr>
        <w:tc>
          <w:tcPr>
            <w:tcW w:w="2088" w:type="dxa"/>
            <w:shd w:val="clear" w:color="auto" w:fill="CCFFFF"/>
          </w:tcPr>
          <w:p w:rsidR="00EA43BC" w:rsidRPr="00534BCA" w:rsidRDefault="00EA43BC" w:rsidP="00EA43BC">
            <w:pPr>
              <w:rPr>
                <w:b/>
                <w:sz w:val="22"/>
              </w:rPr>
            </w:pPr>
          </w:p>
        </w:tc>
        <w:tc>
          <w:tcPr>
            <w:tcW w:w="2222" w:type="dxa"/>
            <w:shd w:val="clear" w:color="auto" w:fill="CCFFFF"/>
            <w:vAlign w:val="center"/>
          </w:tcPr>
          <w:p w:rsidR="00EA43BC" w:rsidRDefault="00EA43BC" w:rsidP="00EA43BC">
            <w:pPr>
              <w:rPr>
                <w:sz w:val="22"/>
              </w:rPr>
            </w:pPr>
            <w:r>
              <w:rPr>
                <w:sz w:val="22"/>
              </w:rPr>
              <w:t>Men</w:t>
            </w:r>
          </w:p>
        </w:tc>
        <w:tc>
          <w:tcPr>
            <w:tcW w:w="2915" w:type="dxa"/>
            <w:tcBorders>
              <w:top w:val="single" w:sz="4" w:space="0" w:color="000000"/>
              <w:left w:val="single" w:sz="4" w:space="0" w:color="000000"/>
              <w:bottom w:val="single" w:sz="4" w:space="0" w:color="000000"/>
              <w:right w:val="single" w:sz="4" w:space="0" w:color="000000"/>
            </w:tcBorders>
          </w:tcPr>
          <w:p w:rsidR="00EA43BC" w:rsidRPr="007D6CD0" w:rsidRDefault="00EA43BC" w:rsidP="00EA43BC">
            <w:pPr>
              <w:pStyle w:val="Standard"/>
              <w:rPr>
                <w:sz w:val="22"/>
                <w:szCs w:val="22"/>
              </w:rPr>
            </w:pPr>
            <w:r w:rsidRPr="007D6CD0">
              <w:rPr>
                <w:sz w:val="22"/>
                <w:szCs w:val="22"/>
              </w:rPr>
              <w:t>N/A</w:t>
            </w:r>
          </w:p>
        </w:tc>
        <w:tc>
          <w:tcPr>
            <w:tcW w:w="3260" w:type="dxa"/>
            <w:tcBorders>
              <w:top w:val="single" w:sz="4" w:space="0" w:color="000000"/>
              <w:left w:val="single" w:sz="4" w:space="0" w:color="000000"/>
              <w:bottom w:val="single" w:sz="4" w:space="0" w:color="000000"/>
              <w:right w:val="single" w:sz="4" w:space="0" w:color="000000"/>
            </w:tcBorders>
          </w:tcPr>
          <w:p w:rsidR="00EA43BC" w:rsidRPr="007D6CD0" w:rsidRDefault="00EA43BC" w:rsidP="00EA43BC">
            <w:pPr>
              <w:pStyle w:val="Standard"/>
              <w:rPr>
                <w:sz w:val="22"/>
                <w:szCs w:val="22"/>
              </w:rPr>
            </w:pPr>
            <w:r w:rsidRPr="007D6CD0">
              <w:rPr>
                <w:sz w:val="22"/>
                <w:szCs w:val="22"/>
              </w:rPr>
              <w:t>N/A</w:t>
            </w:r>
          </w:p>
        </w:tc>
        <w:tc>
          <w:tcPr>
            <w:tcW w:w="4394" w:type="dxa"/>
            <w:shd w:val="clear" w:color="auto" w:fill="FFCC99"/>
          </w:tcPr>
          <w:p w:rsidR="00EA43BC" w:rsidRDefault="00EA43BC" w:rsidP="00EA43BC">
            <w:pPr>
              <w:rPr>
                <w:sz w:val="22"/>
              </w:rPr>
            </w:pPr>
          </w:p>
        </w:tc>
      </w:tr>
      <w:tr w:rsidR="00EA43BC" w:rsidTr="000B3C0F">
        <w:trPr>
          <w:trHeight w:val="593"/>
        </w:trPr>
        <w:tc>
          <w:tcPr>
            <w:tcW w:w="2088" w:type="dxa"/>
            <w:shd w:val="clear" w:color="auto" w:fill="CCFFFF"/>
          </w:tcPr>
          <w:p w:rsidR="00EA43BC" w:rsidRPr="00534BCA" w:rsidRDefault="00EA43BC" w:rsidP="00EA43BC">
            <w:pPr>
              <w:rPr>
                <w:b/>
                <w:sz w:val="22"/>
              </w:rPr>
            </w:pPr>
          </w:p>
        </w:tc>
        <w:tc>
          <w:tcPr>
            <w:tcW w:w="2222" w:type="dxa"/>
            <w:shd w:val="clear" w:color="auto" w:fill="CCFFFF"/>
            <w:vAlign w:val="center"/>
          </w:tcPr>
          <w:p w:rsidR="00EA43BC" w:rsidRDefault="00EA43BC" w:rsidP="00EA43BC">
            <w:pPr>
              <w:rPr>
                <w:sz w:val="22"/>
              </w:rPr>
            </w:pPr>
            <w:r>
              <w:rPr>
                <w:sz w:val="22"/>
              </w:rPr>
              <w:t>Lesbians</w:t>
            </w:r>
          </w:p>
        </w:tc>
        <w:tc>
          <w:tcPr>
            <w:tcW w:w="2915" w:type="dxa"/>
            <w:tcBorders>
              <w:top w:val="single" w:sz="4" w:space="0" w:color="000000"/>
              <w:left w:val="single" w:sz="4" w:space="0" w:color="000000"/>
              <w:bottom w:val="single" w:sz="4" w:space="0" w:color="000000"/>
              <w:right w:val="single" w:sz="4" w:space="0" w:color="000000"/>
            </w:tcBorders>
          </w:tcPr>
          <w:p w:rsidR="00EA43BC" w:rsidRPr="007D6CD0" w:rsidRDefault="00EA43BC" w:rsidP="00EA43BC">
            <w:pPr>
              <w:pStyle w:val="Standard"/>
              <w:rPr>
                <w:sz w:val="22"/>
                <w:szCs w:val="22"/>
              </w:rPr>
            </w:pPr>
            <w:r w:rsidRPr="007D6CD0">
              <w:rPr>
                <w:sz w:val="22"/>
                <w:szCs w:val="22"/>
              </w:rPr>
              <w:t>N/A</w:t>
            </w:r>
          </w:p>
        </w:tc>
        <w:tc>
          <w:tcPr>
            <w:tcW w:w="3260" w:type="dxa"/>
            <w:tcBorders>
              <w:top w:val="single" w:sz="4" w:space="0" w:color="000000"/>
              <w:left w:val="single" w:sz="4" w:space="0" w:color="000000"/>
              <w:bottom w:val="single" w:sz="4" w:space="0" w:color="000000"/>
              <w:right w:val="single" w:sz="4" w:space="0" w:color="000000"/>
            </w:tcBorders>
          </w:tcPr>
          <w:p w:rsidR="00EA43BC" w:rsidRPr="007D6CD0" w:rsidRDefault="00EA43BC" w:rsidP="00EA43BC">
            <w:pPr>
              <w:pStyle w:val="Standard"/>
              <w:rPr>
                <w:sz w:val="22"/>
                <w:szCs w:val="22"/>
              </w:rPr>
            </w:pPr>
            <w:r w:rsidRPr="007D6CD0">
              <w:rPr>
                <w:sz w:val="22"/>
                <w:szCs w:val="22"/>
              </w:rPr>
              <w:t>N/A</w:t>
            </w:r>
          </w:p>
        </w:tc>
        <w:tc>
          <w:tcPr>
            <w:tcW w:w="4394" w:type="dxa"/>
            <w:shd w:val="clear" w:color="auto" w:fill="FFCC99"/>
          </w:tcPr>
          <w:p w:rsidR="00EA43BC" w:rsidRDefault="00EA43BC" w:rsidP="00EA43BC">
            <w:pPr>
              <w:rPr>
                <w:sz w:val="22"/>
              </w:rPr>
            </w:pPr>
          </w:p>
        </w:tc>
      </w:tr>
      <w:tr w:rsidR="00EA43BC" w:rsidTr="000B3C0F">
        <w:trPr>
          <w:trHeight w:val="501"/>
        </w:trPr>
        <w:tc>
          <w:tcPr>
            <w:tcW w:w="2088" w:type="dxa"/>
            <w:shd w:val="clear" w:color="auto" w:fill="CCFFFF"/>
          </w:tcPr>
          <w:p w:rsidR="00EA43BC" w:rsidRPr="00534BCA" w:rsidRDefault="00EA43BC" w:rsidP="00EA43BC">
            <w:pPr>
              <w:rPr>
                <w:b/>
                <w:sz w:val="22"/>
              </w:rPr>
            </w:pPr>
          </w:p>
        </w:tc>
        <w:tc>
          <w:tcPr>
            <w:tcW w:w="2222" w:type="dxa"/>
            <w:shd w:val="clear" w:color="auto" w:fill="CCFFFF"/>
            <w:vAlign w:val="center"/>
          </w:tcPr>
          <w:p w:rsidR="00EA43BC" w:rsidRDefault="00EA43BC" w:rsidP="00EA43BC">
            <w:pPr>
              <w:rPr>
                <w:sz w:val="22"/>
              </w:rPr>
            </w:pPr>
            <w:r>
              <w:rPr>
                <w:sz w:val="22"/>
              </w:rPr>
              <w:t>Gay Men</w:t>
            </w:r>
          </w:p>
        </w:tc>
        <w:tc>
          <w:tcPr>
            <w:tcW w:w="2915" w:type="dxa"/>
            <w:tcBorders>
              <w:top w:val="single" w:sz="4" w:space="0" w:color="000000"/>
              <w:left w:val="single" w:sz="4" w:space="0" w:color="000000"/>
              <w:bottom w:val="single" w:sz="4" w:space="0" w:color="000000"/>
              <w:right w:val="single" w:sz="4" w:space="0" w:color="000000"/>
            </w:tcBorders>
          </w:tcPr>
          <w:p w:rsidR="00EA43BC" w:rsidRPr="007D6CD0" w:rsidRDefault="00EA43BC" w:rsidP="00EA43BC">
            <w:pPr>
              <w:pStyle w:val="Standard"/>
              <w:rPr>
                <w:sz w:val="22"/>
                <w:szCs w:val="22"/>
              </w:rPr>
            </w:pPr>
            <w:r w:rsidRPr="007D6CD0">
              <w:rPr>
                <w:sz w:val="22"/>
                <w:szCs w:val="22"/>
              </w:rPr>
              <w:t>N/A</w:t>
            </w:r>
          </w:p>
        </w:tc>
        <w:tc>
          <w:tcPr>
            <w:tcW w:w="3260" w:type="dxa"/>
            <w:tcBorders>
              <w:top w:val="single" w:sz="4" w:space="0" w:color="000000"/>
              <w:left w:val="single" w:sz="4" w:space="0" w:color="000000"/>
              <w:bottom w:val="single" w:sz="4" w:space="0" w:color="000000"/>
              <w:right w:val="single" w:sz="4" w:space="0" w:color="000000"/>
            </w:tcBorders>
          </w:tcPr>
          <w:p w:rsidR="00EA43BC" w:rsidRPr="007D6CD0" w:rsidRDefault="00EA43BC" w:rsidP="00EA43BC">
            <w:pPr>
              <w:pStyle w:val="Standard"/>
              <w:rPr>
                <w:sz w:val="22"/>
                <w:szCs w:val="22"/>
              </w:rPr>
            </w:pPr>
            <w:r w:rsidRPr="007D6CD0">
              <w:rPr>
                <w:sz w:val="22"/>
                <w:szCs w:val="22"/>
              </w:rPr>
              <w:t>N/A</w:t>
            </w:r>
          </w:p>
        </w:tc>
        <w:tc>
          <w:tcPr>
            <w:tcW w:w="4394" w:type="dxa"/>
            <w:shd w:val="clear" w:color="auto" w:fill="FFCC99"/>
          </w:tcPr>
          <w:p w:rsidR="00EA43BC" w:rsidRDefault="00EA43BC" w:rsidP="00EA43BC">
            <w:pPr>
              <w:rPr>
                <w:sz w:val="22"/>
              </w:rPr>
            </w:pPr>
          </w:p>
        </w:tc>
      </w:tr>
      <w:tr w:rsidR="00EA43BC" w:rsidTr="000B3C0F">
        <w:trPr>
          <w:trHeight w:val="70"/>
        </w:trPr>
        <w:tc>
          <w:tcPr>
            <w:tcW w:w="14879" w:type="dxa"/>
            <w:gridSpan w:val="5"/>
            <w:shd w:val="clear" w:color="auto" w:fill="auto"/>
            <w:vAlign w:val="center"/>
          </w:tcPr>
          <w:p w:rsidR="00EA43BC" w:rsidRPr="00CD7794" w:rsidRDefault="00EA43BC" w:rsidP="00EA43BC">
            <w:pPr>
              <w:rPr>
                <w:sz w:val="18"/>
                <w:szCs w:val="18"/>
              </w:rPr>
            </w:pPr>
          </w:p>
        </w:tc>
      </w:tr>
      <w:tr w:rsidR="00EA43BC" w:rsidTr="000B3C0F">
        <w:tc>
          <w:tcPr>
            <w:tcW w:w="2088" w:type="dxa"/>
            <w:shd w:val="clear" w:color="auto" w:fill="CCFFFF"/>
          </w:tcPr>
          <w:p w:rsidR="00EA43BC" w:rsidRPr="0070176D" w:rsidRDefault="00EA43BC" w:rsidP="00EA43BC">
            <w:pPr>
              <w:rPr>
                <w:rFonts w:cs="Arial"/>
                <w:b/>
                <w:sz w:val="22"/>
                <w:szCs w:val="22"/>
              </w:rPr>
            </w:pPr>
            <w:r w:rsidRPr="0070176D">
              <w:rPr>
                <w:rFonts w:cs="Arial"/>
                <w:b/>
                <w:sz w:val="22"/>
                <w:szCs w:val="22"/>
              </w:rPr>
              <w:t>PREGNANCY &amp; MATERNITY</w:t>
            </w:r>
          </w:p>
        </w:tc>
        <w:tc>
          <w:tcPr>
            <w:tcW w:w="2222" w:type="dxa"/>
            <w:shd w:val="clear" w:color="auto" w:fill="CCFFFF"/>
            <w:vAlign w:val="center"/>
          </w:tcPr>
          <w:p w:rsidR="00EA43BC" w:rsidRDefault="00EA43BC" w:rsidP="00EA43BC">
            <w:pPr>
              <w:rPr>
                <w:sz w:val="22"/>
              </w:rPr>
            </w:pPr>
            <w:r>
              <w:rPr>
                <w:sz w:val="22"/>
              </w:rPr>
              <w:t>Women</w:t>
            </w:r>
          </w:p>
        </w:tc>
        <w:tc>
          <w:tcPr>
            <w:tcW w:w="2915" w:type="dxa"/>
            <w:tcBorders>
              <w:top w:val="single" w:sz="4" w:space="0" w:color="000000"/>
              <w:left w:val="single" w:sz="4" w:space="0" w:color="000000"/>
              <w:bottom w:val="single" w:sz="4" w:space="0" w:color="000000"/>
              <w:right w:val="single" w:sz="4" w:space="0" w:color="000000"/>
            </w:tcBorders>
          </w:tcPr>
          <w:p w:rsidR="00EA43BC" w:rsidRPr="007D6CD0" w:rsidRDefault="00EA43BC" w:rsidP="00EA43BC">
            <w:pPr>
              <w:pStyle w:val="Standard"/>
              <w:rPr>
                <w:sz w:val="22"/>
                <w:szCs w:val="22"/>
              </w:rPr>
            </w:pPr>
            <w:r w:rsidRPr="007D6CD0">
              <w:rPr>
                <w:sz w:val="22"/>
                <w:szCs w:val="22"/>
              </w:rPr>
              <w:t>N/A</w:t>
            </w:r>
          </w:p>
        </w:tc>
        <w:tc>
          <w:tcPr>
            <w:tcW w:w="3260" w:type="dxa"/>
            <w:tcBorders>
              <w:top w:val="single" w:sz="4" w:space="0" w:color="000000"/>
              <w:left w:val="single" w:sz="4" w:space="0" w:color="000000"/>
              <w:bottom w:val="single" w:sz="4" w:space="0" w:color="000000"/>
              <w:right w:val="single" w:sz="4" w:space="0" w:color="000000"/>
            </w:tcBorders>
          </w:tcPr>
          <w:p w:rsidR="00EA43BC" w:rsidRPr="007D6CD0" w:rsidRDefault="00EA43BC" w:rsidP="00EA43BC">
            <w:pPr>
              <w:pStyle w:val="Standard"/>
              <w:rPr>
                <w:sz w:val="22"/>
                <w:szCs w:val="22"/>
              </w:rPr>
            </w:pPr>
            <w:r w:rsidRPr="007D6CD0">
              <w:rPr>
                <w:sz w:val="22"/>
                <w:szCs w:val="22"/>
              </w:rPr>
              <w:t>N/A</w:t>
            </w:r>
          </w:p>
        </w:tc>
        <w:tc>
          <w:tcPr>
            <w:tcW w:w="4394" w:type="dxa"/>
            <w:shd w:val="clear" w:color="auto" w:fill="FFCC99"/>
          </w:tcPr>
          <w:p w:rsidR="00EA43BC" w:rsidRDefault="00EA43BC" w:rsidP="00EA43BC">
            <w:pPr>
              <w:rPr>
                <w:sz w:val="22"/>
              </w:rPr>
            </w:pPr>
          </w:p>
        </w:tc>
      </w:tr>
      <w:tr w:rsidR="00EA43BC" w:rsidRPr="00CD7794" w:rsidTr="000B3C0F">
        <w:trPr>
          <w:trHeight w:val="70"/>
        </w:trPr>
        <w:tc>
          <w:tcPr>
            <w:tcW w:w="14879" w:type="dxa"/>
            <w:gridSpan w:val="5"/>
            <w:shd w:val="clear" w:color="auto" w:fill="auto"/>
            <w:vAlign w:val="center"/>
          </w:tcPr>
          <w:p w:rsidR="00EA43BC" w:rsidRPr="00CD7794" w:rsidRDefault="00EA43BC" w:rsidP="00EA43BC">
            <w:pPr>
              <w:rPr>
                <w:sz w:val="18"/>
                <w:szCs w:val="18"/>
              </w:rPr>
            </w:pPr>
          </w:p>
        </w:tc>
      </w:tr>
      <w:tr w:rsidR="00EA43BC" w:rsidTr="000B3C0F">
        <w:tc>
          <w:tcPr>
            <w:tcW w:w="2088" w:type="dxa"/>
            <w:shd w:val="clear" w:color="auto" w:fill="CCFFFF"/>
          </w:tcPr>
          <w:p w:rsidR="00EA43BC" w:rsidRDefault="00EA43BC" w:rsidP="00EA43BC">
            <w:pPr>
              <w:rPr>
                <w:sz w:val="22"/>
              </w:rPr>
            </w:pPr>
            <w:r w:rsidRPr="00534BCA">
              <w:rPr>
                <w:b/>
                <w:sz w:val="22"/>
              </w:rPr>
              <w:t>RELIGION &amp; BELIEF</w:t>
            </w:r>
            <w:r>
              <w:rPr>
                <w:sz w:val="22"/>
              </w:rPr>
              <w:t>**</w:t>
            </w:r>
          </w:p>
          <w:p w:rsidR="00EA43BC" w:rsidRPr="00CD7794" w:rsidRDefault="00EA43BC" w:rsidP="00EA43BC">
            <w:pPr>
              <w:rPr>
                <w:b/>
                <w:sz w:val="20"/>
              </w:rPr>
            </w:pPr>
            <w:r w:rsidRPr="00CD7794">
              <w:rPr>
                <w:sz w:val="20"/>
              </w:rPr>
              <w:t xml:space="preserve">A list of religions used in the census is available </w:t>
            </w:r>
            <w:hyperlink r:id="rId15" w:history="1">
              <w:r w:rsidRPr="00CD7794">
                <w:rPr>
                  <w:rStyle w:val="Hyperlink"/>
                  <w:sz w:val="20"/>
                </w:rPr>
                <w:t>here.</w:t>
              </w:r>
            </w:hyperlink>
          </w:p>
        </w:tc>
        <w:tc>
          <w:tcPr>
            <w:tcW w:w="2222" w:type="dxa"/>
            <w:shd w:val="clear" w:color="auto" w:fill="CCFFFF"/>
            <w:vAlign w:val="center"/>
          </w:tcPr>
          <w:p w:rsidR="00EA43BC" w:rsidRDefault="00EA43BC" w:rsidP="00EA43BC">
            <w:pPr>
              <w:rPr>
                <w:sz w:val="22"/>
              </w:rPr>
            </w:pPr>
            <w:r>
              <w:rPr>
                <w:sz w:val="22"/>
              </w:rPr>
              <w:t>See note</w:t>
            </w:r>
          </w:p>
        </w:tc>
        <w:tc>
          <w:tcPr>
            <w:tcW w:w="2915" w:type="dxa"/>
            <w:tcBorders>
              <w:top w:val="single" w:sz="4" w:space="0" w:color="000000"/>
              <w:left w:val="single" w:sz="4" w:space="0" w:color="000000"/>
              <w:bottom w:val="single" w:sz="4" w:space="0" w:color="000000"/>
              <w:right w:val="single" w:sz="4" w:space="0" w:color="000000"/>
            </w:tcBorders>
          </w:tcPr>
          <w:p w:rsidR="00EA43BC" w:rsidRPr="007D6CD0" w:rsidRDefault="00EA43BC" w:rsidP="00EA43BC">
            <w:pPr>
              <w:pStyle w:val="Standard"/>
              <w:rPr>
                <w:sz w:val="22"/>
                <w:szCs w:val="22"/>
              </w:rPr>
            </w:pPr>
            <w:r w:rsidRPr="007D6CD0">
              <w:rPr>
                <w:sz w:val="22"/>
                <w:szCs w:val="22"/>
              </w:rPr>
              <w:t>N/A</w:t>
            </w:r>
          </w:p>
        </w:tc>
        <w:tc>
          <w:tcPr>
            <w:tcW w:w="3260" w:type="dxa"/>
            <w:tcBorders>
              <w:top w:val="single" w:sz="4" w:space="0" w:color="000000"/>
              <w:left w:val="single" w:sz="4" w:space="0" w:color="000000"/>
              <w:bottom w:val="single" w:sz="4" w:space="0" w:color="000000"/>
              <w:right w:val="single" w:sz="4" w:space="0" w:color="000000"/>
            </w:tcBorders>
          </w:tcPr>
          <w:p w:rsidR="00EA43BC" w:rsidRPr="007D6CD0" w:rsidRDefault="00EA43BC" w:rsidP="00EA43BC">
            <w:pPr>
              <w:pStyle w:val="Standard"/>
              <w:rPr>
                <w:sz w:val="22"/>
                <w:szCs w:val="22"/>
              </w:rPr>
            </w:pPr>
            <w:r w:rsidRPr="007D6CD0">
              <w:rPr>
                <w:sz w:val="22"/>
                <w:szCs w:val="22"/>
              </w:rPr>
              <w:t>N/A</w:t>
            </w:r>
          </w:p>
        </w:tc>
        <w:tc>
          <w:tcPr>
            <w:tcW w:w="4394" w:type="dxa"/>
            <w:shd w:val="clear" w:color="auto" w:fill="FFCC99"/>
          </w:tcPr>
          <w:p w:rsidR="00EA43BC" w:rsidRDefault="00EA43BC" w:rsidP="00EA43BC">
            <w:pPr>
              <w:rPr>
                <w:sz w:val="22"/>
              </w:rPr>
            </w:pPr>
          </w:p>
        </w:tc>
      </w:tr>
    </w:tbl>
    <w:p w:rsidR="00E00A26" w:rsidRDefault="00E00A26" w:rsidP="00E00A26">
      <w:pPr>
        <w:ind w:firstLine="360"/>
        <w:rPr>
          <w:sz w:val="18"/>
          <w:szCs w:val="18"/>
        </w:rPr>
      </w:pPr>
      <w:r>
        <w:rPr>
          <w:sz w:val="18"/>
          <w:szCs w:val="18"/>
        </w:rPr>
        <w:t>* For reasons of brevity race is not an exhaustive list, and therefore please feel free to augment the list above where appropriate; to reflect the complexity of other racial identities.</w:t>
      </w:r>
    </w:p>
    <w:p w:rsidR="00E00A26" w:rsidRDefault="00E00A26" w:rsidP="00E00A26">
      <w:pPr>
        <w:ind w:left="360"/>
        <w:rPr>
          <w:sz w:val="18"/>
          <w:szCs w:val="18"/>
        </w:rPr>
      </w:pPr>
      <w:r>
        <w:rPr>
          <w:sz w:val="18"/>
          <w:szCs w:val="18"/>
        </w:rPr>
        <w:t xml:space="preserve">** </w:t>
      </w:r>
      <w:r w:rsidRPr="00781F6A">
        <w:rPr>
          <w:sz w:val="18"/>
          <w:szCs w:val="18"/>
        </w:rPr>
        <w:t>There are too many faith groups to provide a list, therefore, please input the faith group e.g. Muslims, Buddhists, Jews, Christians, Hindus, etc.  Consider the different faith groups individually when consider</w:t>
      </w:r>
      <w:r>
        <w:rPr>
          <w:sz w:val="18"/>
          <w:szCs w:val="18"/>
        </w:rPr>
        <w:t xml:space="preserve">ing positive or negative impacts. </w:t>
      </w:r>
      <w:r w:rsidRPr="0070176D">
        <w:rPr>
          <w:sz w:val="18"/>
          <w:szCs w:val="18"/>
        </w:rPr>
        <w:t xml:space="preserve">A list of religions used in the census is available </w:t>
      </w:r>
      <w:hyperlink r:id="rId16" w:history="1">
        <w:r w:rsidRPr="0070176D">
          <w:rPr>
            <w:rStyle w:val="Hyperlink"/>
            <w:sz w:val="18"/>
            <w:szCs w:val="18"/>
          </w:rPr>
          <w:t>here.</w:t>
        </w:r>
      </w:hyperlink>
    </w:p>
    <w:p w:rsidR="00E00A26" w:rsidRPr="00711922" w:rsidRDefault="00E00A26" w:rsidP="00E00A26">
      <w:pPr>
        <w:ind w:left="360"/>
        <w:rPr>
          <w:sz w:val="32"/>
          <w:szCs w:val="32"/>
        </w:rPr>
      </w:pPr>
      <w:r>
        <w:rPr>
          <w:sz w:val="32"/>
          <w:szCs w:val="32"/>
        </w:rPr>
        <w:br w:type="page"/>
      </w:r>
      <w:r w:rsidRPr="00711922">
        <w:rPr>
          <w:sz w:val="32"/>
          <w:szCs w:val="32"/>
        </w:rPr>
        <w:lastRenderedPageBreak/>
        <w:t xml:space="preserve">Summary of </w:t>
      </w:r>
      <w:r>
        <w:rPr>
          <w:sz w:val="32"/>
          <w:szCs w:val="32"/>
        </w:rPr>
        <w:t>Protected Characteristics Most I</w:t>
      </w:r>
      <w:r w:rsidRPr="00711922">
        <w:rPr>
          <w:sz w:val="32"/>
          <w:szCs w:val="32"/>
        </w:rPr>
        <w:t>mpacted</w:t>
      </w:r>
    </w:p>
    <w:tbl>
      <w:tblPr>
        <w:tblpPr w:leftFromText="180" w:rightFromText="180" w:vertAnchor="text" w:horzAnchor="margin" w:tblpX="468" w:tblpY="151"/>
        <w:tblW w:w="47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09"/>
      </w:tblGrid>
      <w:tr w:rsidR="00E00A26" w:rsidRPr="00CD7794" w:rsidTr="00302282">
        <w:trPr>
          <w:trHeight w:val="2401"/>
        </w:trPr>
        <w:tc>
          <w:tcPr>
            <w:tcW w:w="5000" w:type="pct"/>
            <w:shd w:val="clear" w:color="auto" w:fill="auto"/>
            <w:vAlign w:val="center"/>
          </w:tcPr>
          <w:p w:rsidR="00EA43BC" w:rsidRPr="002A1D00" w:rsidRDefault="00EA43BC" w:rsidP="00EA43BC">
            <w:pPr>
              <w:rPr>
                <w:rFonts w:cs="Arial"/>
                <w:sz w:val="22"/>
                <w:szCs w:val="22"/>
              </w:rPr>
            </w:pPr>
            <w:r w:rsidRPr="002A1D00">
              <w:rPr>
                <w:rFonts w:cs="Arial"/>
                <w:sz w:val="22"/>
                <w:szCs w:val="22"/>
              </w:rPr>
              <w:t xml:space="preserve">Children </w:t>
            </w:r>
          </w:p>
          <w:p w:rsidR="00302282" w:rsidRPr="00302282" w:rsidRDefault="00EA43BC" w:rsidP="00EA43BC">
            <w:pPr>
              <w:pStyle w:val="ListParagraph"/>
              <w:numPr>
                <w:ilvl w:val="0"/>
                <w:numId w:val="11"/>
              </w:numPr>
              <w:rPr>
                <w:rFonts w:cs="Arial"/>
              </w:rPr>
            </w:pPr>
            <w:r w:rsidRPr="00302282">
              <w:rPr>
                <w:rFonts w:ascii="Arial" w:hAnsi="Arial" w:cs="Arial"/>
              </w:rPr>
              <w:t>positive impact of being able to return to Linn Park Adventure Playground.</w:t>
            </w:r>
          </w:p>
          <w:p w:rsidR="00302282" w:rsidRPr="00302282" w:rsidRDefault="00302282" w:rsidP="00302282">
            <w:pPr>
              <w:pStyle w:val="ListParagraph"/>
              <w:ind w:left="360"/>
              <w:rPr>
                <w:rFonts w:ascii="Arial" w:hAnsi="Arial" w:cs="Arial"/>
              </w:rPr>
            </w:pPr>
          </w:p>
          <w:p w:rsidR="00EA43BC" w:rsidRPr="00302282" w:rsidRDefault="00EA43BC" w:rsidP="00302282">
            <w:pPr>
              <w:pStyle w:val="ListParagraph"/>
              <w:ind w:left="0"/>
              <w:rPr>
                <w:rFonts w:ascii="Arial" w:hAnsi="Arial" w:cs="Arial"/>
              </w:rPr>
            </w:pPr>
            <w:r w:rsidRPr="00302282">
              <w:rPr>
                <w:rFonts w:ascii="Arial" w:hAnsi="Arial" w:cs="Arial"/>
              </w:rPr>
              <w:t>Disability</w:t>
            </w:r>
          </w:p>
          <w:p w:rsidR="00EA43BC" w:rsidRPr="00302282" w:rsidRDefault="00EA43BC" w:rsidP="00EA43BC">
            <w:pPr>
              <w:pStyle w:val="ListParagraph"/>
              <w:numPr>
                <w:ilvl w:val="0"/>
                <w:numId w:val="8"/>
              </w:numPr>
              <w:rPr>
                <w:rFonts w:ascii="Arial" w:hAnsi="Arial" w:cs="Arial"/>
              </w:rPr>
            </w:pPr>
            <w:r w:rsidRPr="00302282">
              <w:rPr>
                <w:rFonts w:ascii="Arial" w:hAnsi="Arial" w:cs="Arial"/>
              </w:rPr>
              <w:t xml:space="preserve">positive impact for  disabled </w:t>
            </w:r>
            <w:r w:rsidR="0034733E" w:rsidRPr="00302282">
              <w:rPr>
                <w:rFonts w:ascii="Arial" w:hAnsi="Arial" w:cs="Arial"/>
              </w:rPr>
              <w:t xml:space="preserve">children </w:t>
            </w:r>
            <w:r w:rsidRPr="00302282">
              <w:rPr>
                <w:rFonts w:ascii="Arial" w:hAnsi="Arial" w:cs="Arial"/>
              </w:rPr>
              <w:t xml:space="preserve">who previously attended the Linn Park Adventure Playground </w:t>
            </w:r>
            <w:r w:rsidR="0034733E" w:rsidRPr="00302282">
              <w:rPr>
                <w:rFonts w:ascii="Arial" w:hAnsi="Arial" w:cs="Arial"/>
              </w:rPr>
              <w:t>as they</w:t>
            </w:r>
            <w:r w:rsidRPr="00302282">
              <w:rPr>
                <w:rFonts w:ascii="Arial" w:hAnsi="Arial" w:cs="Arial"/>
              </w:rPr>
              <w:t xml:space="preserve"> will be able to resume social opportunities.</w:t>
            </w:r>
          </w:p>
          <w:p w:rsidR="00E00A26" w:rsidRPr="00302282" w:rsidRDefault="00EA43BC" w:rsidP="00EA43BC">
            <w:pPr>
              <w:pStyle w:val="ListParagraph"/>
              <w:numPr>
                <w:ilvl w:val="0"/>
                <w:numId w:val="8"/>
              </w:numPr>
              <w:rPr>
                <w:rFonts w:ascii="Arial" w:hAnsi="Arial" w:cs="Arial"/>
              </w:rPr>
            </w:pPr>
            <w:r w:rsidRPr="00302282">
              <w:rPr>
                <w:rFonts w:ascii="Arial" w:hAnsi="Arial" w:cs="Arial"/>
              </w:rPr>
              <w:t>some potential negative impacts for those who may find the new centre operations difficult, or confusing or distressing.</w:t>
            </w:r>
          </w:p>
          <w:p w:rsidR="00E00A26" w:rsidRPr="000B3C0F" w:rsidRDefault="006F1238" w:rsidP="003E60B1">
            <w:pPr>
              <w:pStyle w:val="ListParagraph"/>
              <w:numPr>
                <w:ilvl w:val="0"/>
                <w:numId w:val="8"/>
              </w:numPr>
              <w:rPr>
                <w:rFonts w:ascii="Arial" w:hAnsi="Arial" w:cs="Arial"/>
              </w:rPr>
            </w:pPr>
            <w:r w:rsidRPr="00302282">
              <w:rPr>
                <w:rFonts w:ascii="Arial" w:hAnsi="Arial" w:cs="Arial"/>
              </w:rPr>
              <w:t>Negative impact for disabled young people as i</w:t>
            </w:r>
            <w:r w:rsidR="00EA43BC" w:rsidRPr="00302282">
              <w:rPr>
                <w:rFonts w:ascii="Arial" w:hAnsi="Arial" w:cs="Arial"/>
              </w:rPr>
              <w:t xml:space="preserve">ndoor space not viable for </w:t>
            </w:r>
            <w:r w:rsidRPr="00302282">
              <w:rPr>
                <w:rFonts w:ascii="Arial" w:hAnsi="Arial" w:cs="Arial"/>
              </w:rPr>
              <w:t xml:space="preserve">operating a safe </w:t>
            </w:r>
            <w:r w:rsidR="00EA43BC" w:rsidRPr="00302282">
              <w:rPr>
                <w:rFonts w:ascii="Arial" w:hAnsi="Arial" w:cs="Arial"/>
              </w:rPr>
              <w:t>Youth Services in evening.</w:t>
            </w:r>
          </w:p>
        </w:tc>
      </w:tr>
    </w:tbl>
    <w:p w:rsidR="00E00A26" w:rsidRDefault="00E00A26" w:rsidP="00E00A26">
      <w:pPr>
        <w:rPr>
          <w:sz w:val="18"/>
          <w:szCs w:val="18"/>
        </w:rPr>
      </w:pPr>
    </w:p>
    <w:p w:rsidR="00E00A26" w:rsidRPr="00711922" w:rsidRDefault="002A1D00" w:rsidP="00E00A26">
      <w:pPr>
        <w:ind w:left="360"/>
        <w:rPr>
          <w:sz w:val="32"/>
          <w:szCs w:val="32"/>
        </w:rPr>
      </w:pPr>
      <w:r>
        <w:rPr>
          <w:sz w:val="32"/>
          <w:szCs w:val="32"/>
        </w:rPr>
        <w:t>S</w:t>
      </w:r>
      <w:r w:rsidR="00E00A26" w:rsidRPr="00711922">
        <w:rPr>
          <w:sz w:val="32"/>
          <w:szCs w:val="32"/>
        </w:rPr>
        <w:t xml:space="preserve">ummary of </w:t>
      </w:r>
      <w:r w:rsidR="00E00A26">
        <w:rPr>
          <w:sz w:val="32"/>
          <w:szCs w:val="32"/>
        </w:rPr>
        <w:t>Socio Economic Impacts</w:t>
      </w:r>
    </w:p>
    <w:tbl>
      <w:tblPr>
        <w:tblpPr w:leftFromText="180" w:rightFromText="180" w:vertAnchor="text" w:horzAnchor="margin" w:tblpX="468" w:tblpY="151"/>
        <w:tblW w:w="47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09"/>
      </w:tblGrid>
      <w:tr w:rsidR="00E00A26" w:rsidRPr="002A1D00" w:rsidTr="00D91722">
        <w:trPr>
          <w:trHeight w:val="70"/>
        </w:trPr>
        <w:tc>
          <w:tcPr>
            <w:tcW w:w="5000" w:type="pct"/>
            <w:shd w:val="clear" w:color="auto" w:fill="auto"/>
            <w:vAlign w:val="center"/>
          </w:tcPr>
          <w:p w:rsidR="00EA43BC" w:rsidRPr="002A1D00" w:rsidRDefault="00EA43BC" w:rsidP="00EA43BC">
            <w:pPr>
              <w:rPr>
                <w:sz w:val="22"/>
                <w:szCs w:val="22"/>
              </w:rPr>
            </w:pPr>
            <w:r w:rsidRPr="002A1D00">
              <w:rPr>
                <w:sz w:val="22"/>
                <w:szCs w:val="22"/>
              </w:rPr>
              <w:t>Fairer Scotland Duty - research indicates those facing socio-economic challenges may be disproportionately affected by COVID.  Access to Linn Park Adventure Playground provision enables GL Staff to resume employment, training or educational opportunities.</w:t>
            </w:r>
          </w:p>
          <w:p w:rsidR="00EA43BC" w:rsidRPr="002A1D00" w:rsidRDefault="00EA43BC" w:rsidP="00EA43BC">
            <w:pPr>
              <w:rPr>
                <w:sz w:val="22"/>
                <w:szCs w:val="22"/>
              </w:rPr>
            </w:pPr>
          </w:p>
          <w:p w:rsidR="00E00A26" w:rsidRDefault="00EA43BC" w:rsidP="003E60B1">
            <w:pPr>
              <w:rPr>
                <w:sz w:val="22"/>
                <w:szCs w:val="22"/>
              </w:rPr>
            </w:pPr>
            <w:r w:rsidRPr="002A1D00">
              <w:rPr>
                <w:sz w:val="22"/>
                <w:szCs w:val="22"/>
              </w:rPr>
              <w:t>Lockdown for COVID 19 removed much relied on services from children, families and carers across Glasgow with the impact being very stressful and challenging for ASN families.  Opening will provide children and their parents / carers a bit of much needed respite and support on their journey to a new norm.</w:t>
            </w:r>
          </w:p>
          <w:p w:rsidR="006F1238" w:rsidRPr="00D91722" w:rsidRDefault="006F1238" w:rsidP="003E60B1">
            <w:pPr>
              <w:rPr>
                <w:sz w:val="22"/>
                <w:szCs w:val="22"/>
              </w:rPr>
            </w:pPr>
          </w:p>
          <w:p w:rsidR="00E00A26" w:rsidRPr="00D91722" w:rsidRDefault="00CC1FDB" w:rsidP="003E60B1">
            <w:pPr>
              <w:rPr>
                <w:sz w:val="22"/>
                <w:szCs w:val="22"/>
              </w:rPr>
            </w:pPr>
            <w:r w:rsidRPr="00D91722">
              <w:rPr>
                <w:sz w:val="22"/>
                <w:szCs w:val="22"/>
              </w:rPr>
              <w:t xml:space="preserve">Although booking </w:t>
            </w:r>
            <w:r w:rsidR="006F1238" w:rsidRPr="00D91722">
              <w:rPr>
                <w:sz w:val="22"/>
                <w:szCs w:val="22"/>
              </w:rPr>
              <w:t xml:space="preserve">is </w:t>
            </w:r>
            <w:r w:rsidRPr="00D91722">
              <w:rPr>
                <w:sz w:val="22"/>
                <w:szCs w:val="22"/>
              </w:rPr>
              <w:t>required, it will be able to be done via phone as well as online allowing those who cannot afford internet or IT devices the ability to book a play time slot.</w:t>
            </w:r>
          </w:p>
        </w:tc>
      </w:tr>
    </w:tbl>
    <w:p w:rsidR="00E00A26" w:rsidRDefault="00E00A26" w:rsidP="00E00A26">
      <w:pPr>
        <w:rPr>
          <w:sz w:val="18"/>
          <w:szCs w:val="18"/>
        </w:rPr>
      </w:pPr>
    </w:p>
    <w:p w:rsidR="00E00A26" w:rsidRDefault="00E00A26" w:rsidP="00D91722">
      <w:pPr>
        <w:ind w:left="360"/>
        <w:rPr>
          <w:sz w:val="32"/>
          <w:szCs w:val="32"/>
        </w:rPr>
      </w:pPr>
      <w:r w:rsidRPr="00711922">
        <w:rPr>
          <w:sz w:val="32"/>
          <w:szCs w:val="32"/>
        </w:rPr>
        <w:t xml:space="preserve">Summary of </w:t>
      </w:r>
      <w:r>
        <w:rPr>
          <w:sz w:val="32"/>
          <w:szCs w:val="32"/>
        </w:rPr>
        <w:t>Human Rights Impacts</w:t>
      </w:r>
    </w:p>
    <w:tbl>
      <w:tblPr>
        <w:tblpPr w:leftFromText="180" w:rightFromText="180" w:vertAnchor="text" w:horzAnchor="margin" w:tblpX="468" w:tblpY="151"/>
        <w:tblW w:w="47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86"/>
      </w:tblGrid>
      <w:tr w:rsidR="00E00A26" w:rsidRPr="00CD7794" w:rsidTr="00D91722">
        <w:trPr>
          <w:trHeight w:val="70"/>
        </w:trPr>
        <w:tc>
          <w:tcPr>
            <w:tcW w:w="5000" w:type="pct"/>
            <w:shd w:val="clear" w:color="auto" w:fill="auto"/>
            <w:vAlign w:val="center"/>
          </w:tcPr>
          <w:p w:rsidR="00E00A26" w:rsidRPr="000B3C0F" w:rsidRDefault="00AF72F5" w:rsidP="003E60B1">
            <w:pPr>
              <w:rPr>
                <w:rFonts w:eastAsiaTheme="minorHAnsi" w:cs="Arial"/>
                <w:sz w:val="22"/>
                <w:szCs w:val="22"/>
              </w:rPr>
            </w:pPr>
            <w:r w:rsidRPr="000B3C0F">
              <w:rPr>
                <w:rFonts w:eastAsiaTheme="minorHAnsi" w:cs="Arial"/>
                <w:b/>
                <w:bCs/>
                <w:sz w:val="22"/>
                <w:szCs w:val="22"/>
              </w:rPr>
              <w:t>The United Nations Convention on the Rights of the Child</w:t>
            </w:r>
            <w:r w:rsidRPr="000B3C0F">
              <w:rPr>
                <w:rFonts w:eastAsiaTheme="minorHAnsi" w:cs="Arial"/>
                <w:sz w:val="22"/>
                <w:szCs w:val="22"/>
              </w:rPr>
              <w:t xml:space="preserve">, </w:t>
            </w:r>
            <w:r w:rsidRPr="000B3C0F">
              <w:rPr>
                <w:rFonts w:eastAsiaTheme="minorHAnsi" w:cs="Arial"/>
                <w:b/>
                <w:bCs/>
                <w:sz w:val="22"/>
                <w:szCs w:val="22"/>
              </w:rPr>
              <w:t xml:space="preserve">Article 31 </w:t>
            </w:r>
            <w:r w:rsidRPr="000B3C0F">
              <w:rPr>
                <w:rFonts w:eastAsiaTheme="minorHAnsi" w:cs="Arial"/>
                <w:sz w:val="22"/>
                <w:szCs w:val="22"/>
              </w:rPr>
              <w:t>(leisure, play and culture) Every child has the right to relax, play and take part in a wide range of cultural and artistic activities: re-opening of Linn Park Adventure Playground will afford more much needed opportunities for play for disabled children.</w:t>
            </w:r>
          </w:p>
          <w:p w:rsidR="00AF72F5" w:rsidRPr="000B3C0F" w:rsidRDefault="00AF72F5" w:rsidP="003E60B1">
            <w:pPr>
              <w:rPr>
                <w:rFonts w:eastAsiaTheme="minorHAnsi" w:cs="Arial"/>
                <w:sz w:val="22"/>
                <w:szCs w:val="22"/>
              </w:rPr>
            </w:pPr>
          </w:p>
          <w:p w:rsidR="00E00A26" w:rsidRPr="000B3C0F" w:rsidRDefault="00AF72F5" w:rsidP="003E60B1">
            <w:pPr>
              <w:rPr>
                <w:rFonts w:eastAsiaTheme="minorHAnsi" w:cs="Arial"/>
                <w:color w:val="FF0000"/>
                <w:sz w:val="22"/>
                <w:szCs w:val="22"/>
              </w:rPr>
            </w:pPr>
            <w:r w:rsidRPr="000B3C0F">
              <w:rPr>
                <w:rFonts w:eastAsiaTheme="minorHAnsi" w:cs="Arial"/>
                <w:sz w:val="22"/>
                <w:szCs w:val="22"/>
              </w:rPr>
              <w:t>Some peop</w:t>
            </w:r>
            <w:r w:rsidR="00BF1FF3" w:rsidRPr="000B3C0F">
              <w:rPr>
                <w:rFonts w:eastAsiaTheme="minorHAnsi" w:cs="Arial"/>
                <w:sz w:val="22"/>
                <w:szCs w:val="22"/>
              </w:rPr>
              <w:t>le</w:t>
            </w:r>
            <w:r w:rsidRPr="000B3C0F">
              <w:rPr>
                <w:rFonts w:eastAsiaTheme="minorHAnsi" w:cs="Arial"/>
                <w:sz w:val="22"/>
                <w:szCs w:val="22"/>
              </w:rPr>
              <w:t xml:space="preserve"> may not be comfortable with the collection of personal data for the purposes of contact tracing protocols.</w:t>
            </w:r>
          </w:p>
        </w:tc>
      </w:tr>
    </w:tbl>
    <w:p w:rsidR="00D91722" w:rsidRPr="00D91722" w:rsidRDefault="00D91722" w:rsidP="00D91722">
      <w:pPr>
        <w:pStyle w:val="Heading1"/>
        <w:rPr>
          <w:b w:val="0"/>
          <w:sz w:val="16"/>
          <w:szCs w:val="16"/>
        </w:rPr>
      </w:pPr>
    </w:p>
    <w:p w:rsidR="00D91722" w:rsidRPr="00D91722" w:rsidRDefault="00D91722">
      <w:pPr>
        <w:spacing w:after="200" w:line="276" w:lineRule="auto"/>
        <w:rPr>
          <w:b/>
          <w:sz w:val="12"/>
          <w:szCs w:val="12"/>
        </w:rPr>
      </w:pPr>
      <w:r>
        <w:rPr>
          <w:sz w:val="36"/>
          <w:szCs w:val="36"/>
        </w:rPr>
        <w:br w:type="page"/>
      </w:r>
    </w:p>
    <w:p w:rsidR="00E00A26" w:rsidRPr="00B04CFA" w:rsidRDefault="00E00A26" w:rsidP="00E00A26">
      <w:pPr>
        <w:pStyle w:val="Heading1"/>
        <w:numPr>
          <w:ilvl w:val="0"/>
          <w:numId w:val="4"/>
        </w:numPr>
        <w:rPr>
          <w:sz w:val="36"/>
          <w:szCs w:val="36"/>
        </w:rPr>
      </w:pPr>
      <w:r w:rsidRPr="00B04CFA">
        <w:rPr>
          <w:sz w:val="36"/>
          <w:szCs w:val="36"/>
        </w:rPr>
        <w:t>OUTCOMES, ACTION &amp; PUBLIC REPORTING</w:t>
      </w:r>
    </w:p>
    <w:p w:rsidR="00E00A26" w:rsidRDefault="00E00A26" w:rsidP="00E00A26">
      <w:pPr>
        <w:rPr>
          <w:sz w:val="22"/>
        </w:rPr>
      </w:pPr>
    </w:p>
    <w:tbl>
      <w:tblPr>
        <w:tblW w:w="14050"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84"/>
        <w:gridCol w:w="6066"/>
      </w:tblGrid>
      <w:tr w:rsidR="00E00A26" w:rsidRPr="00ED47F5" w:rsidTr="00D91722">
        <w:tc>
          <w:tcPr>
            <w:tcW w:w="7984" w:type="dxa"/>
            <w:tcBorders>
              <w:bottom w:val="single" w:sz="4" w:space="0" w:color="auto"/>
            </w:tcBorders>
            <w:shd w:val="clear" w:color="auto" w:fill="D9D9D9"/>
          </w:tcPr>
          <w:p w:rsidR="00E00A26" w:rsidRPr="00D91722" w:rsidRDefault="00E00A26" w:rsidP="003E60B1">
            <w:pPr>
              <w:rPr>
                <w:sz w:val="28"/>
                <w:szCs w:val="28"/>
              </w:rPr>
            </w:pPr>
          </w:p>
          <w:p w:rsidR="00E00A26" w:rsidRPr="002101EA" w:rsidRDefault="00E00A26" w:rsidP="003E60B1">
            <w:pPr>
              <w:jc w:val="center"/>
              <w:rPr>
                <w:b/>
                <w:sz w:val="36"/>
                <w:szCs w:val="36"/>
              </w:rPr>
            </w:pPr>
            <w:r w:rsidRPr="002101EA">
              <w:rPr>
                <w:b/>
                <w:sz w:val="36"/>
                <w:szCs w:val="36"/>
              </w:rPr>
              <w:t>Screening Outcome</w:t>
            </w:r>
          </w:p>
        </w:tc>
        <w:tc>
          <w:tcPr>
            <w:tcW w:w="6066" w:type="dxa"/>
            <w:shd w:val="clear" w:color="auto" w:fill="D9D9D9"/>
          </w:tcPr>
          <w:p w:rsidR="00E00A26" w:rsidRPr="00D91722" w:rsidRDefault="00E00A26" w:rsidP="003E60B1">
            <w:pPr>
              <w:rPr>
                <w:sz w:val="28"/>
                <w:szCs w:val="28"/>
              </w:rPr>
            </w:pPr>
          </w:p>
          <w:p w:rsidR="00E00A26" w:rsidRPr="002101EA" w:rsidRDefault="00E00A26" w:rsidP="003E60B1">
            <w:pPr>
              <w:rPr>
                <w:b/>
                <w:sz w:val="28"/>
                <w:szCs w:val="28"/>
              </w:rPr>
            </w:pPr>
            <w:r w:rsidRPr="002101EA">
              <w:rPr>
                <w:b/>
                <w:sz w:val="28"/>
                <w:szCs w:val="28"/>
              </w:rPr>
              <w:t xml:space="preserve">Yes /No </w:t>
            </w:r>
          </w:p>
          <w:p w:rsidR="00E00A26" w:rsidRDefault="00E00A26" w:rsidP="003E60B1">
            <w:pPr>
              <w:rPr>
                <w:b/>
                <w:sz w:val="28"/>
                <w:szCs w:val="28"/>
              </w:rPr>
            </w:pPr>
            <w:r w:rsidRPr="002101EA">
              <w:rPr>
                <w:b/>
                <w:sz w:val="28"/>
                <w:szCs w:val="28"/>
              </w:rPr>
              <w:t>Or /</w:t>
            </w:r>
          </w:p>
          <w:p w:rsidR="00E00A26" w:rsidRPr="002101EA" w:rsidRDefault="00E00A26" w:rsidP="003E60B1">
            <w:pPr>
              <w:rPr>
                <w:b/>
                <w:sz w:val="28"/>
                <w:szCs w:val="28"/>
              </w:rPr>
            </w:pPr>
            <w:r w:rsidRPr="002101EA">
              <w:rPr>
                <w:b/>
                <w:sz w:val="28"/>
                <w:szCs w:val="28"/>
              </w:rPr>
              <w:t>Not At This Stage</w:t>
            </w:r>
          </w:p>
          <w:p w:rsidR="00E00A26" w:rsidRPr="002101EA" w:rsidRDefault="00E00A26" w:rsidP="003E60B1">
            <w:pPr>
              <w:rPr>
                <w:b/>
                <w:sz w:val="28"/>
                <w:szCs w:val="28"/>
              </w:rPr>
            </w:pPr>
          </w:p>
        </w:tc>
      </w:tr>
      <w:tr w:rsidR="00E00A26" w:rsidTr="00D91722">
        <w:tc>
          <w:tcPr>
            <w:tcW w:w="7984" w:type="dxa"/>
            <w:shd w:val="clear" w:color="auto" w:fill="CCFFFF"/>
            <w:vAlign w:val="center"/>
          </w:tcPr>
          <w:p w:rsidR="00E00A26" w:rsidRPr="002101EA" w:rsidRDefault="00E00A26" w:rsidP="00D91722">
            <w:pPr>
              <w:rPr>
                <w:b/>
                <w:sz w:val="22"/>
                <w:szCs w:val="22"/>
              </w:rPr>
            </w:pPr>
            <w:r w:rsidRPr="002101EA">
              <w:rPr>
                <w:b/>
                <w:sz w:val="22"/>
                <w:szCs w:val="22"/>
              </w:rPr>
              <w:t>Was a significant level of negative impact arising from t</w:t>
            </w:r>
            <w:r w:rsidR="00F17952">
              <w:rPr>
                <w:b/>
                <w:sz w:val="22"/>
                <w:szCs w:val="22"/>
              </w:rPr>
              <w:t xml:space="preserve">he project, policy or strategy </w:t>
            </w:r>
            <w:r w:rsidRPr="002101EA">
              <w:rPr>
                <w:b/>
                <w:sz w:val="22"/>
                <w:szCs w:val="22"/>
              </w:rPr>
              <w:t>identified?</w:t>
            </w:r>
          </w:p>
          <w:p w:rsidR="00E00A26" w:rsidRPr="002101EA" w:rsidRDefault="00E00A26" w:rsidP="00D91722">
            <w:pPr>
              <w:rPr>
                <w:b/>
                <w:sz w:val="22"/>
                <w:szCs w:val="22"/>
              </w:rPr>
            </w:pPr>
          </w:p>
        </w:tc>
        <w:tc>
          <w:tcPr>
            <w:tcW w:w="6066" w:type="dxa"/>
          </w:tcPr>
          <w:p w:rsidR="00F17952" w:rsidRPr="00D91722" w:rsidRDefault="00F17952" w:rsidP="00F17952">
            <w:pPr>
              <w:rPr>
                <w:b/>
                <w:sz w:val="22"/>
                <w:szCs w:val="22"/>
              </w:rPr>
            </w:pPr>
            <w:r w:rsidRPr="00D91722">
              <w:rPr>
                <w:b/>
                <w:sz w:val="22"/>
                <w:szCs w:val="22"/>
              </w:rPr>
              <w:t>Not at this stage</w:t>
            </w:r>
          </w:p>
          <w:p w:rsidR="00C52626" w:rsidRPr="00D91722" w:rsidRDefault="00C52626" w:rsidP="00F17952">
            <w:pPr>
              <w:rPr>
                <w:b/>
                <w:sz w:val="22"/>
                <w:szCs w:val="22"/>
              </w:rPr>
            </w:pPr>
            <w:r w:rsidRPr="00D91722">
              <w:rPr>
                <w:sz w:val="22"/>
                <w:szCs w:val="22"/>
              </w:rPr>
              <w:t>Due to Scottish Government guidelines it is not possible to operate the former youth services for young disabled people.</w:t>
            </w:r>
          </w:p>
          <w:p w:rsidR="00C52626" w:rsidRPr="00D91722" w:rsidRDefault="00F17952" w:rsidP="00C52626">
            <w:pPr>
              <w:rPr>
                <w:sz w:val="22"/>
                <w:szCs w:val="22"/>
              </w:rPr>
            </w:pPr>
            <w:r w:rsidRPr="00D91722">
              <w:rPr>
                <w:sz w:val="22"/>
                <w:szCs w:val="22"/>
              </w:rPr>
              <w:t>The 1st phase of re-opening has identified positive impacts for those able to return to the venue albeit there are some potential negative impacts that may arise due to the changes in operation in respect of following the recommended actions for safe operation.</w:t>
            </w:r>
            <w:r w:rsidR="006F1238" w:rsidRPr="00D91722">
              <w:rPr>
                <w:sz w:val="22"/>
                <w:szCs w:val="22"/>
              </w:rPr>
              <w:t xml:space="preserve"> </w:t>
            </w:r>
          </w:p>
        </w:tc>
      </w:tr>
      <w:tr w:rsidR="00E00A26" w:rsidTr="00D91722">
        <w:tc>
          <w:tcPr>
            <w:tcW w:w="7984" w:type="dxa"/>
            <w:tcBorders>
              <w:bottom w:val="single" w:sz="4" w:space="0" w:color="auto"/>
            </w:tcBorders>
            <w:shd w:val="clear" w:color="auto" w:fill="CCFFFF"/>
            <w:vAlign w:val="center"/>
          </w:tcPr>
          <w:p w:rsidR="00E00A26" w:rsidRPr="002101EA" w:rsidRDefault="00E00A26" w:rsidP="00D91722">
            <w:pPr>
              <w:rPr>
                <w:b/>
                <w:sz w:val="22"/>
                <w:szCs w:val="22"/>
              </w:rPr>
            </w:pPr>
            <w:r w:rsidRPr="002101EA">
              <w:rPr>
                <w:b/>
                <w:sz w:val="22"/>
                <w:szCs w:val="22"/>
              </w:rPr>
              <w:t>Does the project, policy or strategy require to be amended to have a positive impact?</w:t>
            </w:r>
          </w:p>
          <w:p w:rsidR="00E00A26" w:rsidRPr="002101EA" w:rsidRDefault="00E00A26" w:rsidP="00D91722">
            <w:pPr>
              <w:rPr>
                <w:b/>
                <w:sz w:val="22"/>
                <w:szCs w:val="22"/>
              </w:rPr>
            </w:pPr>
          </w:p>
        </w:tc>
        <w:tc>
          <w:tcPr>
            <w:tcW w:w="6066" w:type="dxa"/>
            <w:tcBorders>
              <w:bottom w:val="single" w:sz="4" w:space="0" w:color="auto"/>
            </w:tcBorders>
          </w:tcPr>
          <w:p w:rsidR="00F17952" w:rsidRPr="00D91722" w:rsidRDefault="00F17952" w:rsidP="00F17952">
            <w:pPr>
              <w:rPr>
                <w:b/>
                <w:sz w:val="22"/>
                <w:szCs w:val="22"/>
              </w:rPr>
            </w:pPr>
            <w:r w:rsidRPr="00D91722">
              <w:rPr>
                <w:b/>
                <w:sz w:val="22"/>
                <w:szCs w:val="22"/>
              </w:rPr>
              <w:t>Not at this stage</w:t>
            </w:r>
          </w:p>
          <w:p w:rsidR="00E00A26" w:rsidRPr="00D91722" w:rsidRDefault="00F17952" w:rsidP="00C52626">
            <w:pPr>
              <w:rPr>
                <w:sz w:val="22"/>
                <w:szCs w:val="22"/>
              </w:rPr>
            </w:pPr>
            <w:r w:rsidRPr="00D91722">
              <w:rPr>
                <w:sz w:val="22"/>
                <w:szCs w:val="22"/>
              </w:rPr>
              <w:t xml:space="preserve">The </w:t>
            </w:r>
            <w:r w:rsidR="00C52626" w:rsidRPr="00D91722">
              <w:rPr>
                <w:sz w:val="22"/>
                <w:szCs w:val="22"/>
              </w:rPr>
              <w:t>re-opening strategy cannot be amended to have more positive impact at the present time due to the Scottish Government and public health guidelines on safe operation.</w:t>
            </w:r>
          </w:p>
        </w:tc>
      </w:tr>
      <w:tr w:rsidR="00E00A26" w:rsidTr="00D91722">
        <w:tc>
          <w:tcPr>
            <w:tcW w:w="7984" w:type="dxa"/>
            <w:tcBorders>
              <w:bottom w:val="single" w:sz="4" w:space="0" w:color="auto"/>
            </w:tcBorders>
            <w:shd w:val="clear" w:color="auto" w:fill="CCFFFF"/>
            <w:vAlign w:val="center"/>
          </w:tcPr>
          <w:p w:rsidR="00E00A26" w:rsidRPr="002101EA" w:rsidRDefault="00E00A26" w:rsidP="00D91722">
            <w:pPr>
              <w:rPr>
                <w:b/>
                <w:sz w:val="22"/>
                <w:szCs w:val="22"/>
              </w:rPr>
            </w:pPr>
            <w:r w:rsidRPr="002101EA">
              <w:rPr>
                <w:b/>
                <w:sz w:val="22"/>
                <w:szCs w:val="22"/>
              </w:rPr>
              <w:t>Does a Full Impact Assessment need to be undertaken?</w:t>
            </w:r>
            <w:r w:rsidR="00D91722" w:rsidRPr="002101EA">
              <w:rPr>
                <w:b/>
                <w:sz w:val="22"/>
                <w:szCs w:val="22"/>
              </w:rPr>
              <w:t xml:space="preserve"> </w:t>
            </w:r>
          </w:p>
        </w:tc>
        <w:tc>
          <w:tcPr>
            <w:tcW w:w="6066" w:type="dxa"/>
            <w:tcBorders>
              <w:bottom w:val="single" w:sz="4" w:space="0" w:color="auto"/>
            </w:tcBorders>
          </w:tcPr>
          <w:p w:rsidR="002A1D00" w:rsidRPr="00D91722" w:rsidRDefault="002A1D00" w:rsidP="002A1D00">
            <w:pPr>
              <w:rPr>
                <w:b/>
                <w:sz w:val="22"/>
                <w:szCs w:val="22"/>
              </w:rPr>
            </w:pPr>
            <w:r w:rsidRPr="00D91722">
              <w:rPr>
                <w:b/>
                <w:sz w:val="22"/>
                <w:szCs w:val="22"/>
              </w:rPr>
              <w:t>Not at this stage</w:t>
            </w:r>
          </w:p>
          <w:p w:rsidR="00E00A26" w:rsidRPr="00D91722" w:rsidRDefault="002A1D00" w:rsidP="002A1D00">
            <w:pPr>
              <w:rPr>
                <w:sz w:val="22"/>
                <w:szCs w:val="22"/>
              </w:rPr>
            </w:pPr>
            <w:r w:rsidRPr="00D91722">
              <w:rPr>
                <w:sz w:val="22"/>
                <w:szCs w:val="22"/>
              </w:rPr>
              <w:t>The 1st phase of re-opening has identified positive impacts for those able to return to the venue albeit the</w:t>
            </w:r>
            <w:r w:rsidR="00C52626" w:rsidRPr="00D91722">
              <w:rPr>
                <w:sz w:val="22"/>
                <w:szCs w:val="22"/>
              </w:rPr>
              <w:t xml:space="preserve"> services for young people will not re-start at present and the</w:t>
            </w:r>
            <w:r w:rsidRPr="00D91722">
              <w:rPr>
                <w:sz w:val="22"/>
                <w:szCs w:val="22"/>
              </w:rPr>
              <w:t>re are some potential negative impacts that may arise due to the changes in operation in respect of following the recommended actions for safe operation.</w:t>
            </w:r>
            <w:r w:rsidR="00876E42" w:rsidRPr="00D91722">
              <w:rPr>
                <w:sz w:val="22"/>
                <w:szCs w:val="22"/>
              </w:rPr>
              <w:t xml:space="preserve"> </w:t>
            </w:r>
          </w:p>
        </w:tc>
      </w:tr>
    </w:tbl>
    <w:p w:rsidR="00E00A26" w:rsidRDefault="00E00A26" w:rsidP="00E00A26">
      <w:pPr>
        <w:ind w:firstLine="360"/>
        <w:rPr>
          <w:sz w:val="18"/>
          <w:szCs w:val="18"/>
        </w:rPr>
      </w:pPr>
    </w:p>
    <w:p w:rsidR="00E00A26" w:rsidRDefault="00E00A26" w:rsidP="00E00A26">
      <w:pPr>
        <w:ind w:firstLine="360"/>
        <w:rPr>
          <w:sz w:val="18"/>
          <w:szCs w:val="18"/>
        </w:rPr>
        <w:sectPr w:rsidR="00E00A26" w:rsidSect="002101EA">
          <w:pgSz w:w="16838" w:h="11906" w:orient="landscape" w:code="9"/>
          <w:pgMar w:top="851" w:right="1440" w:bottom="1135" w:left="851" w:header="720" w:footer="720" w:gutter="0"/>
          <w:cols w:space="720"/>
        </w:sectPr>
      </w:pPr>
    </w:p>
    <w:p w:rsidR="00E00A26" w:rsidRDefault="00E00A26" w:rsidP="00E00A26">
      <w:pPr>
        <w:ind w:firstLine="360"/>
        <w:rPr>
          <w:sz w:val="18"/>
          <w:szCs w:val="18"/>
        </w:rPr>
      </w:pPr>
    </w:p>
    <w:tbl>
      <w:tblPr>
        <w:tblW w:w="14192"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6"/>
        <w:gridCol w:w="4962"/>
        <w:gridCol w:w="5074"/>
      </w:tblGrid>
      <w:tr w:rsidR="00E00A26" w:rsidRPr="00ED47F5" w:rsidTr="00D91722">
        <w:tc>
          <w:tcPr>
            <w:tcW w:w="14192" w:type="dxa"/>
            <w:gridSpan w:val="3"/>
            <w:tcBorders>
              <w:top w:val="single" w:sz="4" w:space="0" w:color="auto"/>
              <w:left w:val="single" w:sz="4" w:space="0" w:color="auto"/>
              <w:bottom w:val="single" w:sz="4" w:space="0" w:color="auto"/>
              <w:right w:val="single" w:sz="4" w:space="0" w:color="auto"/>
            </w:tcBorders>
            <w:shd w:val="clear" w:color="auto" w:fill="D9D9D9"/>
          </w:tcPr>
          <w:p w:rsidR="00E00A26" w:rsidRPr="00D91722" w:rsidRDefault="00E00A26" w:rsidP="003E60B1">
            <w:pPr>
              <w:rPr>
                <w:sz w:val="12"/>
                <w:szCs w:val="12"/>
              </w:rPr>
            </w:pPr>
          </w:p>
          <w:p w:rsidR="00E00A26" w:rsidRPr="002101EA" w:rsidRDefault="00E00A26" w:rsidP="003E60B1">
            <w:pPr>
              <w:jc w:val="center"/>
              <w:rPr>
                <w:sz w:val="36"/>
                <w:szCs w:val="36"/>
              </w:rPr>
            </w:pPr>
            <w:r w:rsidRPr="002101EA">
              <w:rPr>
                <w:b/>
                <w:sz w:val="36"/>
                <w:szCs w:val="36"/>
              </w:rPr>
              <w:t>Actions: Next Steps</w:t>
            </w:r>
          </w:p>
          <w:p w:rsidR="00E00A26" w:rsidRPr="00460F93" w:rsidRDefault="00E00A26" w:rsidP="003E60B1">
            <w:pPr>
              <w:jc w:val="center"/>
              <w:rPr>
                <w:sz w:val="16"/>
                <w:szCs w:val="16"/>
              </w:rPr>
            </w:pPr>
          </w:p>
          <w:p w:rsidR="00E00A26" w:rsidRDefault="00E00A26" w:rsidP="003E60B1">
            <w:pPr>
              <w:jc w:val="center"/>
              <w:rPr>
                <w:sz w:val="18"/>
                <w:szCs w:val="18"/>
              </w:rPr>
            </w:pPr>
            <w:r w:rsidRPr="00ED47F5">
              <w:rPr>
                <w:sz w:val="18"/>
                <w:szCs w:val="18"/>
              </w:rPr>
              <w:t xml:space="preserve">(i.e. is there a strategic group that can monitor </w:t>
            </w:r>
            <w:r>
              <w:rPr>
                <w:sz w:val="18"/>
                <w:szCs w:val="18"/>
              </w:rPr>
              <w:t>any future actions)</w:t>
            </w:r>
          </w:p>
          <w:p w:rsidR="00E00A26" w:rsidRPr="00D91722" w:rsidRDefault="00E00A26" w:rsidP="003E60B1">
            <w:pPr>
              <w:ind w:firstLine="360"/>
              <w:rPr>
                <w:sz w:val="12"/>
                <w:szCs w:val="12"/>
              </w:rPr>
            </w:pPr>
          </w:p>
        </w:tc>
      </w:tr>
      <w:tr w:rsidR="00E00A26" w:rsidTr="00D91722">
        <w:tc>
          <w:tcPr>
            <w:tcW w:w="4156" w:type="dxa"/>
            <w:tcBorders>
              <w:bottom w:val="single" w:sz="4" w:space="0" w:color="auto"/>
            </w:tcBorders>
            <w:shd w:val="clear" w:color="auto" w:fill="D9D9D9"/>
          </w:tcPr>
          <w:p w:rsidR="00E00A26" w:rsidRPr="00D91722" w:rsidRDefault="00E00A26" w:rsidP="003E60B1">
            <w:pPr>
              <w:rPr>
                <w:b/>
                <w:sz w:val="12"/>
                <w:szCs w:val="12"/>
              </w:rPr>
            </w:pPr>
          </w:p>
          <w:p w:rsidR="00E00A26" w:rsidRDefault="00E00A26" w:rsidP="003E60B1">
            <w:pPr>
              <w:rPr>
                <w:b/>
                <w:sz w:val="22"/>
              </w:rPr>
            </w:pPr>
            <w:r>
              <w:rPr>
                <w:b/>
                <w:sz w:val="22"/>
              </w:rPr>
              <w:t xml:space="preserve">Further </w:t>
            </w:r>
            <w:r w:rsidRPr="00ED47F5">
              <w:rPr>
                <w:b/>
                <w:sz w:val="22"/>
              </w:rPr>
              <w:t>Action Required</w:t>
            </w:r>
            <w:r>
              <w:rPr>
                <w:b/>
                <w:sz w:val="22"/>
              </w:rPr>
              <w:t>/ Action To Be Undertaken</w:t>
            </w:r>
          </w:p>
          <w:p w:rsidR="00E00A26" w:rsidRPr="00D91722" w:rsidRDefault="00E00A26" w:rsidP="003E60B1">
            <w:pPr>
              <w:rPr>
                <w:b/>
                <w:sz w:val="12"/>
                <w:szCs w:val="12"/>
              </w:rPr>
            </w:pPr>
          </w:p>
        </w:tc>
        <w:tc>
          <w:tcPr>
            <w:tcW w:w="4962" w:type="dxa"/>
            <w:tcBorders>
              <w:bottom w:val="single" w:sz="4" w:space="0" w:color="auto"/>
            </w:tcBorders>
            <w:shd w:val="clear" w:color="auto" w:fill="D9D9D9"/>
          </w:tcPr>
          <w:p w:rsidR="00E00A26" w:rsidRPr="00D91722" w:rsidRDefault="00E00A26" w:rsidP="003E60B1">
            <w:pPr>
              <w:rPr>
                <w:b/>
                <w:sz w:val="12"/>
                <w:szCs w:val="12"/>
              </w:rPr>
            </w:pPr>
          </w:p>
          <w:p w:rsidR="00E00A26" w:rsidRDefault="00E00A26" w:rsidP="003E60B1">
            <w:pPr>
              <w:rPr>
                <w:b/>
                <w:sz w:val="22"/>
              </w:rPr>
            </w:pPr>
            <w:r w:rsidRPr="00ED47F5">
              <w:rPr>
                <w:b/>
                <w:sz w:val="22"/>
              </w:rPr>
              <w:t>Lead Officer</w:t>
            </w:r>
            <w:r>
              <w:rPr>
                <w:b/>
                <w:sz w:val="22"/>
              </w:rPr>
              <w:t xml:space="preserve"> and/or</w:t>
            </w:r>
          </w:p>
          <w:p w:rsidR="00E00A26" w:rsidRPr="00ED47F5" w:rsidRDefault="00E00A26" w:rsidP="003E60B1">
            <w:pPr>
              <w:rPr>
                <w:b/>
                <w:sz w:val="22"/>
              </w:rPr>
            </w:pPr>
            <w:r>
              <w:rPr>
                <w:b/>
                <w:sz w:val="22"/>
              </w:rPr>
              <w:t>Lead Strategic Group</w:t>
            </w:r>
          </w:p>
        </w:tc>
        <w:tc>
          <w:tcPr>
            <w:tcW w:w="5074" w:type="dxa"/>
            <w:tcBorders>
              <w:bottom w:val="single" w:sz="4" w:space="0" w:color="auto"/>
            </w:tcBorders>
            <w:shd w:val="clear" w:color="auto" w:fill="D9D9D9"/>
          </w:tcPr>
          <w:p w:rsidR="00E00A26" w:rsidRPr="00D91722" w:rsidRDefault="00E00A26" w:rsidP="003E60B1">
            <w:pPr>
              <w:rPr>
                <w:b/>
                <w:sz w:val="12"/>
                <w:szCs w:val="12"/>
              </w:rPr>
            </w:pPr>
          </w:p>
          <w:p w:rsidR="00E00A26" w:rsidRPr="00ED47F5" w:rsidRDefault="00E00A26" w:rsidP="003E60B1">
            <w:pPr>
              <w:rPr>
                <w:b/>
                <w:sz w:val="22"/>
              </w:rPr>
            </w:pPr>
            <w:r>
              <w:rPr>
                <w:b/>
                <w:sz w:val="22"/>
              </w:rPr>
              <w:t>Timescale for Resolution of Negative Impact (s) / Delivery of Positive Impact (s)</w:t>
            </w:r>
          </w:p>
          <w:p w:rsidR="00E00A26" w:rsidRPr="00D91722" w:rsidRDefault="00E00A26" w:rsidP="003E60B1">
            <w:pPr>
              <w:rPr>
                <w:b/>
                <w:sz w:val="12"/>
                <w:szCs w:val="12"/>
              </w:rPr>
            </w:pPr>
          </w:p>
        </w:tc>
      </w:tr>
      <w:tr w:rsidR="00F17952" w:rsidTr="00D91722">
        <w:trPr>
          <w:trHeight w:val="884"/>
        </w:trPr>
        <w:tc>
          <w:tcPr>
            <w:tcW w:w="4156" w:type="dxa"/>
            <w:tcBorders>
              <w:top w:val="single" w:sz="4" w:space="0" w:color="000000"/>
              <w:left w:val="single" w:sz="4" w:space="0" w:color="000000"/>
              <w:bottom w:val="single" w:sz="4" w:space="0" w:color="000000"/>
              <w:right w:val="single" w:sz="4" w:space="0" w:color="000000"/>
            </w:tcBorders>
          </w:tcPr>
          <w:p w:rsidR="00F17952" w:rsidRDefault="00F17952" w:rsidP="00F17952">
            <w:pPr>
              <w:pStyle w:val="Standard"/>
              <w:rPr>
                <w:sz w:val="22"/>
                <w:szCs w:val="22"/>
              </w:rPr>
            </w:pPr>
            <w:r>
              <w:rPr>
                <w:sz w:val="22"/>
                <w:szCs w:val="22"/>
              </w:rPr>
              <w:t>Workplace recovery plan to considered as a working document and be reviewed every 2 weeks (or more frequently as required) in line with emerging guidance from UK/Scottish Government and Public Health authorities.</w:t>
            </w:r>
          </w:p>
          <w:p w:rsidR="00F17952" w:rsidRDefault="00F17952" w:rsidP="00F17952">
            <w:pPr>
              <w:pStyle w:val="Standard"/>
              <w:rPr>
                <w:sz w:val="22"/>
                <w:szCs w:val="22"/>
              </w:rPr>
            </w:pPr>
          </w:p>
          <w:p w:rsidR="00F17952" w:rsidRDefault="00F17952" w:rsidP="00F17952">
            <w:pPr>
              <w:pStyle w:val="Standard"/>
              <w:rPr>
                <w:sz w:val="22"/>
                <w:szCs w:val="22"/>
              </w:rPr>
            </w:pPr>
            <w:r>
              <w:rPr>
                <w:sz w:val="22"/>
                <w:szCs w:val="22"/>
              </w:rPr>
              <w:t>Glasgow Life Centres Risk Assessment considered as a working document and be reviewed in line with emerging guidance from UK/Scottish Government.</w:t>
            </w:r>
          </w:p>
          <w:p w:rsidR="00F17952" w:rsidRDefault="00F17952" w:rsidP="00F17952">
            <w:pPr>
              <w:pStyle w:val="Standard"/>
              <w:rPr>
                <w:sz w:val="22"/>
                <w:szCs w:val="22"/>
              </w:rPr>
            </w:pPr>
          </w:p>
          <w:p w:rsidR="00F17952" w:rsidRDefault="00F17952" w:rsidP="00F17952">
            <w:pPr>
              <w:pStyle w:val="Standard"/>
              <w:rPr>
                <w:sz w:val="22"/>
                <w:szCs w:val="22"/>
              </w:rPr>
            </w:pPr>
            <w:r>
              <w:rPr>
                <w:sz w:val="22"/>
                <w:szCs w:val="22"/>
              </w:rPr>
              <w:t>Regular contact between Centre Supervisor and Glasgow ASN Schools and customers bookings.</w:t>
            </w:r>
          </w:p>
          <w:p w:rsidR="00F17952" w:rsidRDefault="00F17952" w:rsidP="00F17952">
            <w:pPr>
              <w:pStyle w:val="Standard"/>
              <w:rPr>
                <w:sz w:val="22"/>
                <w:szCs w:val="22"/>
              </w:rPr>
            </w:pPr>
          </w:p>
          <w:p w:rsidR="00F17952" w:rsidRDefault="00F17952" w:rsidP="00F17952">
            <w:pPr>
              <w:pStyle w:val="Standard"/>
              <w:rPr>
                <w:sz w:val="22"/>
                <w:szCs w:val="22"/>
              </w:rPr>
            </w:pPr>
            <w:r>
              <w:rPr>
                <w:sz w:val="22"/>
                <w:szCs w:val="22"/>
              </w:rPr>
              <w:t>Continue to follow Scottish Government guidelines and be able to respond and adapt to any future changes in social distancing rules and guidance that would be applicable to our venues.</w:t>
            </w:r>
          </w:p>
          <w:p w:rsidR="00F17952" w:rsidRDefault="00F17952" w:rsidP="00F17952">
            <w:pPr>
              <w:pStyle w:val="Standard"/>
              <w:rPr>
                <w:sz w:val="22"/>
                <w:szCs w:val="22"/>
              </w:rPr>
            </w:pPr>
          </w:p>
        </w:tc>
        <w:tc>
          <w:tcPr>
            <w:tcW w:w="4962" w:type="dxa"/>
            <w:tcBorders>
              <w:top w:val="single" w:sz="4" w:space="0" w:color="000000"/>
              <w:left w:val="single" w:sz="4" w:space="0" w:color="000000"/>
              <w:bottom w:val="single" w:sz="4" w:space="0" w:color="000000"/>
              <w:right w:val="single" w:sz="4" w:space="0" w:color="000000"/>
            </w:tcBorders>
          </w:tcPr>
          <w:p w:rsidR="00F17952" w:rsidRDefault="00F17952" w:rsidP="00F17952">
            <w:pPr>
              <w:pStyle w:val="Standard"/>
              <w:rPr>
                <w:sz w:val="22"/>
                <w:szCs w:val="22"/>
              </w:rPr>
            </w:pPr>
            <w:r>
              <w:rPr>
                <w:sz w:val="22"/>
                <w:szCs w:val="22"/>
              </w:rPr>
              <w:t>Infrastructure Support Team</w:t>
            </w:r>
          </w:p>
          <w:p w:rsidR="00CF1D0F" w:rsidRDefault="00CF1D0F" w:rsidP="00F17952">
            <w:pPr>
              <w:pStyle w:val="Standard"/>
              <w:rPr>
                <w:sz w:val="22"/>
                <w:szCs w:val="22"/>
              </w:rPr>
            </w:pPr>
          </w:p>
          <w:p w:rsidR="00F17952" w:rsidRDefault="00F17952" w:rsidP="00F17952">
            <w:pPr>
              <w:pStyle w:val="Standard"/>
              <w:rPr>
                <w:sz w:val="22"/>
                <w:szCs w:val="22"/>
              </w:rPr>
            </w:pPr>
            <w:r>
              <w:rPr>
                <w:sz w:val="22"/>
                <w:szCs w:val="22"/>
              </w:rPr>
              <w:t>HR and Health and Safety teams to be involved in a working group that reviews and adapts the workplace arrangements regularly</w:t>
            </w:r>
          </w:p>
          <w:p w:rsidR="00F17952" w:rsidRDefault="00F17952" w:rsidP="00F17952">
            <w:pPr>
              <w:pStyle w:val="Standard"/>
              <w:rPr>
                <w:sz w:val="22"/>
                <w:szCs w:val="22"/>
              </w:rPr>
            </w:pPr>
          </w:p>
          <w:p w:rsidR="00F17952" w:rsidRDefault="00F17952" w:rsidP="00F17952">
            <w:pPr>
              <w:pStyle w:val="Standard"/>
              <w:rPr>
                <w:sz w:val="22"/>
                <w:szCs w:val="22"/>
              </w:rPr>
            </w:pPr>
          </w:p>
          <w:p w:rsidR="00F17952" w:rsidRDefault="00F17952" w:rsidP="00F17952">
            <w:pPr>
              <w:pStyle w:val="Standard"/>
              <w:rPr>
                <w:sz w:val="22"/>
                <w:szCs w:val="22"/>
              </w:rPr>
            </w:pPr>
          </w:p>
          <w:p w:rsidR="00F17952" w:rsidRDefault="00F17952" w:rsidP="00F17952">
            <w:pPr>
              <w:pStyle w:val="Standard"/>
              <w:rPr>
                <w:sz w:val="22"/>
                <w:szCs w:val="22"/>
              </w:rPr>
            </w:pPr>
          </w:p>
          <w:p w:rsidR="00F17952" w:rsidRDefault="00F17952" w:rsidP="00F17952">
            <w:pPr>
              <w:pStyle w:val="Standard"/>
              <w:rPr>
                <w:sz w:val="22"/>
                <w:szCs w:val="22"/>
              </w:rPr>
            </w:pPr>
          </w:p>
          <w:p w:rsidR="00F17952" w:rsidRDefault="00F17952" w:rsidP="00F17952">
            <w:pPr>
              <w:pStyle w:val="Standard"/>
              <w:rPr>
                <w:sz w:val="22"/>
                <w:szCs w:val="22"/>
              </w:rPr>
            </w:pPr>
          </w:p>
          <w:p w:rsidR="00F17952" w:rsidRDefault="00F17952" w:rsidP="00F17952">
            <w:pPr>
              <w:pStyle w:val="Standard"/>
              <w:rPr>
                <w:sz w:val="22"/>
                <w:szCs w:val="22"/>
              </w:rPr>
            </w:pPr>
          </w:p>
          <w:p w:rsidR="00F17952" w:rsidRDefault="00F17952" w:rsidP="00F17952">
            <w:pPr>
              <w:pStyle w:val="Standard"/>
              <w:rPr>
                <w:sz w:val="22"/>
                <w:szCs w:val="22"/>
              </w:rPr>
            </w:pPr>
            <w:r>
              <w:rPr>
                <w:sz w:val="22"/>
                <w:szCs w:val="22"/>
              </w:rPr>
              <w:t>Centre supervisors</w:t>
            </w:r>
          </w:p>
        </w:tc>
        <w:tc>
          <w:tcPr>
            <w:tcW w:w="5074" w:type="dxa"/>
            <w:tcBorders>
              <w:top w:val="single" w:sz="4" w:space="0" w:color="000000"/>
              <w:left w:val="single" w:sz="4" w:space="0" w:color="000000"/>
              <w:bottom w:val="single" w:sz="4" w:space="0" w:color="000000"/>
              <w:right w:val="single" w:sz="4" w:space="0" w:color="000000"/>
            </w:tcBorders>
          </w:tcPr>
          <w:p w:rsidR="00F17952" w:rsidRDefault="00F17952" w:rsidP="00F17952">
            <w:pPr>
              <w:pStyle w:val="Standard"/>
              <w:rPr>
                <w:sz w:val="22"/>
                <w:szCs w:val="22"/>
              </w:rPr>
            </w:pPr>
            <w:r>
              <w:rPr>
                <w:sz w:val="22"/>
                <w:szCs w:val="22"/>
              </w:rPr>
              <w:t>Suggest weekly meeting of a working group comprising Infrastructure Support, HR and Health and Safety.</w:t>
            </w:r>
          </w:p>
          <w:p w:rsidR="00F17952" w:rsidRDefault="00F17952" w:rsidP="00F17952">
            <w:pPr>
              <w:pStyle w:val="Standard"/>
              <w:rPr>
                <w:sz w:val="22"/>
                <w:szCs w:val="22"/>
              </w:rPr>
            </w:pPr>
          </w:p>
          <w:p w:rsidR="00F17952" w:rsidRDefault="00F17952" w:rsidP="00CF1D0F">
            <w:pPr>
              <w:pStyle w:val="Standard"/>
              <w:rPr>
                <w:sz w:val="22"/>
                <w:szCs w:val="22"/>
              </w:rPr>
            </w:pPr>
            <w:r>
              <w:rPr>
                <w:sz w:val="22"/>
                <w:szCs w:val="22"/>
              </w:rPr>
              <w:t>Building Transitions Group has now been convened and meets regularly on a Tuesday.</w:t>
            </w:r>
          </w:p>
        </w:tc>
      </w:tr>
    </w:tbl>
    <w:p w:rsidR="00E00A26" w:rsidRPr="00D91722" w:rsidRDefault="00E00A26" w:rsidP="00E00A26">
      <w:pPr>
        <w:ind w:firstLine="426"/>
        <w:rPr>
          <w:sz w:val="12"/>
          <w:szCs w:val="12"/>
        </w:rPr>
      </w:pPr>
    </w:p>
    <w:p w:rsidR="00E00A26" w:rsidRPr="00CE4FCB" w:rsidRDefault="00E00A26" w:rsidP="00D91722">
      <w:pPr>
        <w:pBdr>
          <w:top w:val="single" w:sz="4" w:space="1" w:color="auto"/>
          <w:left w:val="single" w:sz="4" w:space="4" w:color="auto"/>
          <w:bottom w:val="single" w:sz="4" w:space="1" w:color="auto"/>
          <w:right w:val="single" w:sz="4" w:space="0" w:color="auto"/>
        </w:pBdr>
        <w:ind w:left="426"/>
        <w:jc w:val="center"/>
        <w:rPr>
          <w:b/>
          <w:sz w:val="36"/>
          <w:szCs w:val="36"/>
        </w:rPr>
      </w:pPr>
      <w:r w:rsidRPr="00CE4FCB">
        <w:rPr>
          <w:b/>
          <w:sz w:val="36"/>
          <w:szCs w:val="36"/>
        </w:rPr>
        <w:t>Public Reporting</w:t>
      </w:r>
    </w:p>
    <w:p w:rsidR="00E00A26" w:rsidRDefault="00E00A26" w:rsidP="00D91722">
      <w:pPr>
        <w:pBdr>
          <w:top w:val="single" w:sz="4" w:space="1" w:color="auto"/>
          <w:left w:val="single" w:sz="4" w:space="4" w:color="auto"/>
          <w:bottom w:val="single" w:sz="4" w:space="1" w:color="auto"/>
          <w:right w:val="single" w:sz="4" w:space="0" w:color="auto"/>
        </w:pBdr>
        <w:ind w:left="426"/>
        <w:rPr>
          <w:sz w:val="22"/>
        </w:rPr>
      </w:pPr>
    </w:p>
    <w:p w:rsidR="00E00A26" w:rsidRDefault="00E00A26" w:rsidP="00D91722">
      <w:pPr>
        <w:pBdr>
          <w:top w:val="single" w:sz="4" w:space="1" w:color="auto"/>
          <w:left w:val="single" w:sz="4" w:space="4" w:color="auto"/>
          <w:bottom w:val="single" w:sz="4" w:space="1" w:color="auto"/>
          <w:right w:val="single" w:sz="4" w:space="0" w:color="auto"/>
        </w:pBdr>
        <w:ind w:left="426"/>
        <w:rPr>
          <w:b/>
          <w:sz w:val="22"/>
        </w:rPr>
      </w:pPr>
      <w:r>
        <w:rPr>
          <w:sz w:val="22"/>
        </w:rPr>
        <w:lastRenderedPageBreak/>
        <w:t xml:space="preserve">All completed EQIA Screenings are required to be publically available on the </w:t>
      </w:r>
      <w:hyperlink r:id="rId17" w:history="1">
        <w:r w:rsidRPr="00CE4FCB">
          <w:rPr>
            <w:rStyle w:val="Hyperlink"/>
            <w:sz w:val="22"/>
          </w:rPr>
          <w:t>Council EQIA Webpage</w:t>
        </w:r>
      </w:hyperlink>
      <w:r>
        <w:rPr>
          <w:sz w:val="22"/>
        </w:rPr>
        <w:t xml:space="preserve"> once they have been signed off by the relevant manager, and/or Strategic, Policy, or Operational Group. (See </w:t>
      </w:r>
      <w:hyperlink r:id="rId18" w:history="1">
        <w:r w:rsidRPr="00CE4FCB">
          <w:rPr>
            <w:rStyle w:val="Hyperlink"/>
            <w:sz w:val="22"/>
          </w:rPr>
          <w:t>EQIA Guidance</w:t>
        </w:r>
      </w:hyperlink>
      <w:r>
        <w:rPr>
          <w:sz w:val="22"/>
        </w:rPr>
        <w:t>: Pgs. 11-12)</w:t>
      </w:r>
    </w:p>
    <w:p w:rsidR="00E00A26" w:rsidRDefault="00E00A26" w:rsidP="00E00A26">
      <w:pPr>
        <w:rPr>
          <w:sz w:val="22"/>
        </w:rPr>
      </w:pPr>
    </w:p>
    <w:p w:rsidR="00E00A26" w:rsidRDefault="00E00A26" w:rsidP="00E00A26">
      <w:pPr>
        <w:pStyle w:val="Heading1"/>
        <w:numPr>
          <w:ilvl w:val="0"/>
          <w:numId w:val="4"/>
        </w:numPr>
      </w:pPr>
      <w:r>
        <w:t>MONITORING OUTCOMES, EVALUATION &amp; REVIEW</w:t>
      </w:r>
    </w:p>
    <w:p w:rsidR="00E00A26" w:rsidRDefault="00E00A26" w:rsidP="00E00A26">
      <w:pPr>
        <w:ind w:firstLine="720"/>
        <w:rPr>
          <w:sz w:val="22"/>
        </w:rPr>
      </w:pPr>
    </w:p>
    <w:p w:rsidR="00E00A26" w:rsidRDefault="00E00A26" w:rsidP="00E00A26">
      <w:pPr>
        <w:ind w:left="720"/>
        <w:rPr>
          <w:sz w:val="22"/>
        </w:rPr>
      </w:pPr>
      <w:r>
        <w:rPr>
          <w:sz w:val="22"/>
        </w:rPr>
        <w:t xml:space="preserve">The Equalities Impact Assessment (EQIA) screening is not an end in itself but the start of a continuous monitoring and review process. The relevant Strategic, Policy, or Operational Group responsible for the delivery of </w:t>
      </w:r>
      <w:r w:rsidRPr="005B5549">
        <w:rPr>
          <w:sz w:val="22"/>
        </w:rPr>
        <w:t xml:space="preserve">the </w:t>
      </w:r>
      <w:r w:rsidRPr="005B5549">
        <w:rPr>
          <w:bCs/>
          <w:sz w:val="22"/>
          <w:szCs w:val="28"/>
        </w:rPr>
        <w:t>Policy, Project, Service Reform or Budget Option</w:t>
      </w:r>
      <w:r>
        <w:rPr>
          <w:bCs/>
          <w:sz w:val="22"/>
          <w:szCs w:val="28"/>
        </w:rPr>
        <w:t xml:space="preserve">, is also responsible for monitoring and reviewing the EQIA Screening and any actions that may have been take to mitigate impacts. </w:t>
      </w:r>
    </w:p>
    <w:p w:rsidR="00E00A26" w:rsidRDefault="00E00A26" w:rsidP="00E00A26">
      <w:pPr>
        <w:rPr>
          <w:sz w:val="22"/>
        </w:rPr>
      </w:pPr>
    </w:p>
    <w:p w:rsidR="00E00A26" w:rsidRDefault="00E00A26" w:rsidP="00D91722">
      <w:pPr>
        <w:ind w:left="720"/>
        <w:rPr>
          <w:sz w:val="22"/>
        </w:rPr>
        <w:sectPr w:rsidR="00E00A26" w:rsidSect="002101EA">
          <w:pgSz w:w="16838" w:h="11906" w:orient="landscape" w:code="9"/>
          <w:pgMar w:top="851" w:right="1440" w:bottom="1135" w:left="851" w:header="720" w:footer="720" w:gutter="0"/>
          <w:cols w:space="720"/>
        </w:sectPr>
      </w:pPr>
      <w:r>
        <w:rPr>
          <w:sz w:val="22"/>
        </w:rPr>
        <w:t xml:space="preserve">Individual services are responsible for conducting the impact assessment for their area, staff from </w:t>
      </w:r>
      <w:r w:rsidRPr="00ED47F5">
        <w:rPr>
          <w:b/>
          <w:sz w:val="22"/>
        </w:rPr>
        <w:t>Corporate Strategic Policy and Planning</w:t>
      </w:r>
      <w:r>
        <w:rPr>
          <w:sz w:val="22"/>
        </w:rPr>
        <w:t xml:space="preserve"> will be available to provide support and guidance.</w:t>
      </w:r>
    </w:p>
    <w:p w:rsidR="00E00A26" w:rsidRPr="00CA2835" w:rsidRDefault="00E00A26" w:rsidP="00E00A26">
      <w:pPr>
        <w:pStyle w:val="Heading2"/>
        <w:rPr>
          <w:sz w:val="20"/>
        </w:rPr>
      </w:pPr>
      <w:r w:rsidRPr="00CA2835">
        <w:rPr>
          <w:sz w:val="20"/>
        </w:rPr>
        <w:t>Legislation</w:t>
      </w:r>
    </w:p>
    <w:p w:rsidR="00E00A26" w:rsidRPr="00CA2835" w:rsidRDefault="00E00A26" w:rsidP="00E00A26">
      <w:pPr>
        <w:rPr>
          <w:b/>
          <w:color w:val="231F20"/>
          <w:sz w:val="20"/>
          <w:lang w:val="en-US"/>
        </w:rPr>
      </w:pPr>
    </w:p>
    <w:p w:rsidR="00E00A26" w:rsidRPr="00CA2835" w:rsidRDefault="00E00A26" w:rsidP="00E00A26">
      <w:pPr>
        <w:rPr>
          <w:b/>
          <w:sz w:val="20"/>
        </w:rPr>
      </w:pPr>
      <w:r w:rsidRPr="00CA2835">
        <w:rPr>
          <w:b/>
          <w:sz w:val="20"/>
        </w:rPr>
        <w:t>Equality Act (2010) - the Equality Act 2010 (Specific Duties) Scotland Regulations 2012</w:t>
      </w:r>
    </w:p>
    <w:p w:rsidR="00E00A26" w:rsidRPr="00284C11" w:rsidRDefault="00E00A26" w:rsidP="00284C11">
      <w:pPr>
        <w:rPr>
          <w:b/>
          <w:sz w:val="20"/>
        </w:rPr>
      </w:pPr>
      <w:r w:rsidRPr="00284C11">
        <w:rPr>
          <w:sz w:val="20"/>
        </w:rPr>
        <w:t xml:space="preserve">The 2010 Act consolidated previous equalities legislation to protect people from discrimination on grounds of: </w:t>
      </w:r>
    </w:p>
    <w:p w:rsidR="00E00A26" w:rsidRPr="00CA2835" w:rsidRDefault="00E00A26" w:rsidP="00E00A26">
      <w:pPr>
        <w:rPr>
          <w:sz w:val="20"/>
        </w:rPr>
      </w:pPr>
    </w:p>
    <w:p w:rsidR="00E00A26" w:rsidRPr="00CA2835" w:rsidRDefault="00E00A26" w:rsidP="00E00A26">
      <w:pPr>
        <w:numPr>
          <w:ilvl w:val="0"/>
          <w:numId w:val="5"/>
        </w:numPr>
        <w:rPr>
          <w:sz w:val="20"/>
        </w:rPr>
      </w:pPr>
      <w:r w:rsidRPr="00CA2835">
        <w:rPr>
          <w:sz w:val="20"/>
        </w:rPr>
        <w:t>race</w:t>
      </w:r>
    </w:p>
    <w:p w:rsidR="00E00A26" w:rsidRPr="00CA2835" w:rsidRDefault="00E00A26" w:rsidP="00E00A26">
      <w:pPr>
        <w:numPr>
          <w:ilvl w:val="0"/>
          <w:numId w:val="5"/>
        </w:numPr>
        <w:rPr>
          <w:sz w:val="20"/>
        </w:rPr>
      </w:pPr>
      <w:r w:rsidRPr="00CA2835">
        <w:rPr>
          <w:sz w:val="20"/>
        </w:rPr>
        <w:t xml:space="preserve">sex </w:t>
      </w:r>
    </w:p>
    <w:p w:rsidR="00E00A26" w:rsidRPr="00CA2835" w:rsidRDefault="00E00A26" w:rsidP="00E00A26">
      <w:pPr>
        <w:numPr>
          <w:ilvl w:val="0"/>
          <w:numId w:val="5"/>
        </w:numPr>
        <w:rPr>
          <w:sz w:val="20"/>
        </w:rPr>
      </w:pPr>
      <w:r w:rsidRPr="00CA2835">
        <w:rPr>
          <w:sz w:val="20"/>
        </w:rPr>
        <w:t xml:space="preserve">being a transsexual person (transsexuality is where someone has changed, is changing or has proposed changing their sex – called ‘gender reassignment’ in law) </w:t>
      </w:r>
    </w:p>
    <w:p w:rsidR="00E00A26" w:rsidRPr="00CA2835" w:rsidRDefault="00E00A26" w:rsidP="00E00A26">
      <w:pPr>
        <w:numPr>
          <w:ilvl w:val="0"/>
          <w:numId w:val="5"/>
        </w:numPr>
        <w:rPr>
          <w:sz w:val="20"/>
        </w:rPr>
      </w:pPr>
      <w:r w:rsidRPr="00CA2835">
        <w:rPr>
          <w:sz w:val="20"/>
        </w:rPr>
        <w:t>sexual orientation (whether being lesbian, gay, bisexual or heterosexual)</w:t>
      </w:r>
    </w:p>
    <w:p w:rsidR="00E00A26" w:rsidRPr="00CA2835" w:rsidRDefault="00E00A26" w:rsidP="00E00A26">
      <w:pPr>
        <w:numPr>
          <w:ilvl w:val="0"/>
          <w:numId w:val="5"/>
        </w:numPr>
        <w:rPr>
          <w:sz w:val="20"/>
        </w:rPr>
      </w:pPr>
      <w:r w:rsidRPr="00CA2835">
        <w:rPr>
          <w:sz w:val="20"/>
        </w:rPr>
        <w:t>disability (or because of something connected with their disability)</w:t>
      </w:r>
    </w:p>
    <w:p w:rsidR="00E00A26" w:rsidRPr="00CA2835" w:rsidRDefault="00E00A26" w:rsidP="00E00A26">
      <w:pPr>
        <w:numPr>
          <w:ilvl w:val="0"/>
          <w:numId w:val="5"/>
        </w:numPr>
        <w:rPr>
          <w:sz w:val="20"/>
        </w:rPr>
      </w:pPr>
      <w:r w:rsidRPr="00CA2835">
        <w:rPr>
          <w:sz w:val="20"/>
        </w:rPr>
        <w:t>religion or belief</w:t>
      </w:r>
    </w:p>
    <w:p w:rsidR="00E00A26" w:rsidRPr="00CA2835" w:rsidRDefault="00E00A26" w:rsidP="00E00A26">
      <w:pPr>
        <w:numPr>
          <w:ilvl w:val="0"/>
          <w:numId w:val="5"/>
        </w:numPr>
        <w:rPr>
          <w:sz w:val="20"/>
        </w:rPr>
      </w:pPr>
      <w:r w:rsidRPr="00CA2835">
        <w:rPr>
          <w:sz w:val="20"/>
        </w:rPr>
        <w:t>having just had a baby or being pregnant</w:t>
      </w:r>
    </w:p>
    <w:p w:rsidR="00E00A26" w:rsidRPr="00CA2835" w:rsidRDefault="00E00A26" w:rsidP="00E00A26">
      <w:pPr>
        <w:numPr>
          <w:ilvl w:val="0"/>
          <w:numId w:val="5"/>
        </w:numPr>
        <w:rPr>
          <w:sz w:val="20"/>
        </w:rPr>
      </w:pPr>
      <w:r w:rsidRPr="00CA2835">
        <w:rPr>
          <w:sz w:val="20"/>
        </w:rPr>
        <w:t>being married or in a civil partnership, and</w:t>
      </w:r>
    </w:p>
    <w:p w:rsidR="00E00A26" w:rsidRPr="00CA2835" w:rsidRDefault="00E00A26" w:rsidP="00E00A26">
      <w:pPr>
        <w:numPr>
          <w:ilvl w:val="0"/>
          <w:numId w:val="5"/>
        </w:numPr>
        <w:rPr>
          <w:sz w:val="20"/>
        </w:rPr>
      </w:pPr>
      <w:r w:rsidRPr="00CA2835">
        <w:rPr>
          <w:sz w:val="20"/>
        </w:rPr>
        <w:t>age.</w:t>
      </w:r>
    </w:p>
    <w:p w:rsidR="00E00A26" w:rsidRPr="00CA2835" w:rsidRDefault="00E00A26" w:rsidP="00E00A26">
      <w:pPr>
        <w:rPr>
          <w:sz w:val="20"/>
        </w:rPr>
      </w:pPr>
    </w:p>
    <w:p w:rsidR="00E00A26" w:rsidRPr="00CA2835" w:rsidRDefault="00E00A26" w:rsidP="00E00A26">
      <w:pPr>
        <w:rPr>
          <w:sz w:val="20"/>
        </w:rPr>
      </w:pPr>
      <w:r w:rsidRPr="00CA2835">
        <w:rPr>
          <w:sz w:val="20"/>
        </w:rPr>
        <w:t xml:space="preserve">Further information: </w:t>
      </w:r>
      <w:hyperlink r:id="rId19" w:history="1">
        <w:r w:rsidRPr="00CA2835">
          <w:rPr>
            <w:rStyle w:val="Hyperlink"/>
            <w:sz w:val="20"/>
          </w:rPr>
          <w:t>Equality Act Guidance</w:t>
        </w:r>
      </w:hyperlink>
    </w:p>
    <w:p w:rsidR="00E00A26" w:rsidRPr="00CA2835" w:rsidRDefault="00E00A26" w:rsidP="00E00A26">
      <w:pPr>
        <w:rPr>
          <w:rFonts w:cs="Arial"/>
          <w:sz w:val="20"/>
        </w:rPr>
      </w:pPr>
    </w:p>
    <w:p w:rsidR="00E00A26" w:rsidRPr="00CA2835" w:rsidRDefault="00E00A26" w:rsidP="00E00A26">
      <w:pPr>
        <w:rPr>
          <w:rFonts w:cs="Arial"/>
          <w:sz w:val="20"/>
        </w:rPr>
      </w:pPr>
      <w:r w:rsidRPr="00CA2835">
        <w:rPr>
          <w:rFonts w:cs="Arial"/>
          <w:sz w:val="20"/>
        </w:rPr>
        <w:t xml:space="preserve">As noted the Equality Act 2010 simplifies the current laws and puts them all together in one piece of legislation. In addition the </w:t>
      </w:r>
      <w:r w:rsidRPr="00CA2835">
        <w:rPr>
          <w:b/>
          <w:sz w:val="20"/>
        </w:rPr>
        <w:t xml:space="preserve">Specific Duties (Scotland Regulations 2012) </w:t>
      </w:r>
      <w:r w:rsidRPr="00CA2835">
        <w:rPr>
          <w:rFonts w:cs="Arial"/>
          <w:sz w:val="20"/>
          <w:lang w:val="en"/>
        </w:rPr>
        <w:t>require local authorities to do the following to enable better performance of the general equality duty:</w:t>
      </w:r>
    </w:p>
    <w:p w:rsidR="00E00A26" w:rsidRPr="00CA2835" w:rsidRDefault="00E00A26" w:rsidP="00E00A26">
      <w:pPr>
        <w:rPr>
          <w:rFonts w:cs="Arial"/>
          <w:sz w:val="20"/>
          <w:lang w:val="en"/>
        </w:rPr>
      </w:pPr>
    </w:p>
    <w:p w:rsidR="00E00A26" w:rsidRPr="00CA2835" w:rsidRDefault="00E00A26" w:rsidP="00E00A26">
      <w:pPr>
        <w:numPr>
          <w:ilvl w:val="0"/>
          <w:numId w:val="6"/>
        </w:numPr>
        <w:rPr>
          <w:sz w:val="20"/>
        </w:rPr>
      </w:pPr>
      <w:r w:rsidRPr="00CA2835">
        <w:rPr>
          <w:sz w:val="20"/>
        </w:rPr>
        <w:t>report progress on mainstreaming the general equality duty</w:t>
      </w:r>
    </w:p>
    <w:p w:rsidR="00E00A26" w:rsidRPr="00CA2835" w:rsidRDefault="00E00A26" w:rsidP="00E00A26">
      <w:pPr>
        <w:numPr>
          <w:ilvl w:val="0"/>
          <w:numId w:val="6"/>
        </w:numPr>
        <w:rPr>
          <w:sz w:val="20"/>
        </w:rPr>
      </w:pPr>
      <w:r w:rsidRPr="00CA2835">
        <w:rPr>
          <w:sz w:val="20"/>
        </w:rPr>
        <w:t>publish equality outcomes and report progress in meeting those</w:t>
      </w:r>
    </w:p>
    <w:p w:rsidR="00E00A26" w:rsidRPr="00CA2835" w:rsidRDefault="00E00A26" w:rsidP="00E00A26">
      <w:pPr>
        <w:numPr>
          <w:ilvl w:val="0"/>
          <w:numId w:val="6"/>
        </w:numPr>
        <w:rPr>
          <w:sz w:val="20"/>
        </w:rPr>
      </w:pPr>
      <w:r w:rsidRPr="00CA2835">
        <w:rPr>
          <w:sz w:val="20"/>
        </w:rPr>
        <w:t>impact assess new or revised policies and practices as well as making arrangements to review existing policies and practices</w:t>
      </w:r>
      <w:r w:rsidRPr="00CA2835">
        <w:rPr>
          <w:sz w:val="20"/>
        </w:rPr>
        <w:br/>
        <w:t>gather, use and publish employee information</w:t>
      </w:r>
    </w:p>
    <w:p w:rsidR="00E00A26" w:rsidRPr="00CA2835" w:rsidRDefault="00E00A26" w:rsidP="00E00A26">
      <w:pPr>
        <w:numPr>
          <w:ilvl w:val="0"/>
          <w:numId w:val="6"/>
        </w:numPr>
        <w:rPr>
          <w:sz w:val="20"/>
        </w:rPr>
      </w:pPr>
      <w:r w:rsidRPr="00CA2835">
        <w:rPr>
          <w:sz w:val="20"/>
        </w:rPr>
        <w:t>publish gender pay gap information and an equal pay statement</w:t>
      </w:r>
    </w:p>
    <w:p w:rsidR="00E00A26" w:rsidRPr="00CA2835" w:rsidRDefault="00E00A26" w:rsidP="00E00A26">
      <w:pPr>
        <w:numPr>
          <w:ilvl w:val="0"/>
          <w:numId w:val="6"/>
        </w:numPr>
        <w:rPr>
          <w:sz w:val="20"/>
        </w:rPr>
      </w:pPr>
      <w:r w:rsidRPr="00CA2835">
        <w:rPr>
          <w:sz w:val="20"/>
        </w:rPr>
        <w:t>consider adding equality award criteria and contract conditions in public procurement exercises.</w:t>
      </w:r>
    </w:p>
    <w:p w:rsidR="00E00A26" w:rsidRPr="00CA2835" w:rsidRDefault="00E00A26" w:rsidP="00E00A26">
      <w:pPr>
        <w:rPr>
          <w:sz w:val="20"/>
        </w:rPr>
      </w:pPr>
    </w:p>
    <w:p w:rsidR="00E00A26" w:rsidRPr="00CA2835" w:rsidRDefault="00E00A26" w:rsidP="00E00A26">
      <w:pPr>
        <w:rPr>
          <w:sz w:val="20"/>
        </w:rPr>
      </w:pPr>
      <w:r w:rsidRPr="00CA2835">
        <w:rPr>
          <w:sz w:val="20"/>
        </w:rPr>
        <w:t xml:space="preserve">Further information: </w:t>
      </w:r>
      <w:hyperlink r:id="rId20" w:history="1">
        <w:r w:rsidRPr="00CA2835">
          <w:rPr>
            <w:rStyle w:val="Hyperlink"/>
            <w:sz w:val="20"/>
          </w:rPr>
          <w:t>Understanding Scottish Specific Public Sector Equality Duties</w:t>
        </w:r>
      </w:hyperlink>
    </w:p>
    <w:p w:rsidR="00E00A26" w:rsidRPr="00CA2835" w:rsidRDefault="00E00A26" w:rsidP="00E00A26">
      <w:pPr>
        <w:rPr>
          <w:sz w:val="20"/>
        </w:rPr>
      </w:pPr>
    </w:p>
    <w:p w:rsidR="00E00A26" w:rsidRDefault="00E00A26" w:rsidP="00E00A26">
      <w:pPr>
        <w:rPr>
          <w:b/>
          <w:sz w:val="20"/>
        </w:rPr>
      </w:pPr>
    </w:p>
    <w:p w:rsidR="00E00A26" w:rsidRPr="00CA2835" w:rsidRDefault="00E00A26" w:rsidP="00E00A26">
      <w:pPr>
        <w:rPr>
          <w:b/>
          <w:sz w:val="20"/>
        </w:rPr>
      </w:pPr>
      <w:r w:rsidRPr="00CA2835">
        <w:rPr>
          <w:b/>
          <w:sz w:val="20"/>
        </w:rPr>
        <w:t>Fairer Scotland Duty</w:t>
      </w:r>
    </w:p>
    <w:p w:rsidR="00E00A26" w:rsidRDefault="00E00A26" w:rsidP="00E00A26">
      <w:pPr>
        <w:rPr>
          <w:sz w:val="20"/>
        </w:rPr>
      </w:pPr>
      <w:r>
        <w:rPr>
          <w:sz w:val="20"/>
        </w:rPr>
        <w:t xml:space="preserve">Authorities should also consider Socio-Economic Impacts where appropriate.  Further information: </w:t>
      </w:r>
      <w:hyperlink r:id="rId21" w:history="1">
        <w:r w:rsidRPr="00CA2835">
          <w:rPr>
            <w:rStyle w:val="Hyperlink"/>
            <w:sz w:val="20"/>
          </w:rPr>
          <w:t>Fairer Scotland Duty Interim Guidance</w:t>
        </w:r>
      </w:hyperlink>
    </w:p>
    <w:p w:rsidR="00E00A26" w:rsidRDefault="00E00A26" w:rsidP="00E00A26">
      <w:pPr>
        <w:rPr>
          <w:b/>
          <w:sz w:val="20"/>
        </w:rPr>
      </w:pPr>
    </w:p>
    <w:p w:rsidR="00E00A26" w:rsidRDefault="00E00A26" w:rsidP="00E00A26">
      <w:pPr>
        <w:rPr>
          <w:b/>
          <w:sz w:val="20"/>
        </w:rPr>
      </w:pPr>
    </w:p>
    <w:p w:rsidR="00E00A26" w:rsidRPr="00CA2835" w:rsidRDefault="00E00A26" w:rsidP="00E00A26">
      <w:pPr>
        <w:rPr>
          <w:sz w:val="20"/>
        </w:rPr>
      </w:pPr>
      <w:r w:rsidRPr="00CA2835">
        <w:rPr>
          <w:b/>
          <w:sz w:val="20"/>
        </w:rPr>
        <w:t>Enforcement</w:t>
      </w:r>
      <w:r w:rsidRPr="00CA2835">
        <w:rPr>
          <w:sz w:val="20"/>
        </w:rPr>
        <w:br/>
        <w:t>Judicial review of an authority can be taken by any person, including the Equality and Human Rights Commission (EHRC) or a group of people, with an interest, in respect of alleged failure to comply with the general equality duty.  Only the EHRC can enforce the specific duties.   A failure to comply with the specific duties may however be used as evidence of a failure to comply with the general duty.</w:t>
      </w:r>
    </w:p>
    <w:p w:rsidR="00CA66D3" w:rsidRDefault="00F162D7"/>
    <w:sectPr w:rsidR="00CA66D3" w:rsidSect="002101EA">
      <w:pgSz w:w="16838" w:h="11906" w:orient="landscape" w:code="9"/>
      <w:pgMar w:top="851" w:right="1178" w:bottom="1135"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2B0" w:rsidRDefault="003869BB">
      <w:r>
        <w:separator/>
      </w:r>
    </w:p>
  </w:endnote>
  <w:endnote w:type="continuationSeparator" w:id="0">
    <w:p w:rsidR="008742B0" w:rsidRDefault="00386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EAC" w:rsidRDefault="003869BB">
    <w:pPr>
      <w:pStyle w:val="Footer"/>
      <w:rPr>
        <w:sz w:val="16"/>
      </w:rPr>
    </w:pP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\\cpfpsclc01fs\MyDocs$\quinnc\Documents\Desktop\Equalities\EQIA\Equality Screening Form March 2019 Training draft.doc</w:t>
    </w:r>
    <w:r>
      <w:rPr>
        <w:snapToGrid w:val="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2B0" w:rsidRDefault="003869BB">
      <w:r>
        <w:separator/>
      </w:r>
    </w:p>
  </w:footnote>
  <w:footnote w:type="continuationSeparator" w:id="0">
    <w:p w:rsidR="008742B0" w:rsidRDefault="003869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EAC" w:rsidRDefault="003869BB" w:rsidP="00284C11">
    <w:pPr>
      <w:pStyle w:val="Header"/>
      <w:tabs>
        <w:tab w:val="left" w:pos="825"/>
        <w:tab w:val="right" w:pos="14547"/>
      </w:tabs>
      <w:jc w:val="right"/>
      <w:rPr>
        <w:b/>
      </w:rPr>
    </w:pPr>
    <w:r>
      <w:rPr>
        <w:b/>
        <w:noProof/>
      </w:rPr>
      <w:t>EQIA Screening Form</w:t>
    </w:r>
  </w:p>
  <w:p w:rsidR="00797EAC" w:rsidRPr="00284C11" w:rsidRDefault="00F162D7" w:rsidP="00CE2D80">
    <w:pPr>
      <w:pStyle w:val="Header"/>
      <w:jc w:val="right"/>
      <w:rPr>
        <w:b/>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B668D"/>
    <w:multiLevelType w:val="hybridMultilevel"/>
    <w:tmpl w:val="F2263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D343A"/>
    <w:multiLevelType w:val="hybridMultilevel"/>
    <w:tmpl w:val="B04CDCC4"/>
    <w:lvl w:ilvl="0" w:tplc="08090001">
      <w:start w:val="1"/>
      <w:numFmt w:val="bullet"/>
      <w:lvlText w:val=""/>
      <w:lvlJc w:val="left"/>
      <w:pPr>
        <w:tabs>
          <w:tab w:val="num" w:pos="1430"/>
        </w:tabs>
        <w:ind w:left="1430" w:hanging="360"/>
      </w:pPr>
      <w:rPr>
        <w:rFonts w:ascii="Symbol" w:hAnsi="Symbol" w:hint="default"/>
      </w:rPr>
    </w:lvl>
    <w:lvl w:ilvl="1" w:tplc="08090003" w:tentative="1">
      <w:start w:val="1"/>
      <w:numFmt w:val="bullet"/>
      <w:lvlText w:val="o"/>
      <w:lvlJc w:val="left"/>
      <w:pPr>
        <w:tabs>
          <w:tab w:val="num" w:pos="2150"/>
        </w:tabs>
        <w:ind w:left="2150" w:hanging="360"/>
      </w:pPr>
      <w:rPr>
        <w:rFonts w:ascii="Courier New" w:hAnsi="Courier New" w:cs="Courier New" w:hint="default"/>
      </w:rPr>
    </w:lvl>
    <w:lvl w:ilvl="2" w:tplc="08090005" w:tentative="1">
      <w:start w:val="1"/>
      <w:numFmt w:val="bullet"/>
      <w:lvlText w:val=""/>
      <w:lvlJc w:val="left"/>
      <w:pPr>
        <w:tabs>
          <w:tab w:val="num" w:pos="2870"/>
        </w:tabs>
        <w:ind w:left="2870" w:hanging="360"/>
      </w:pPr>
      <w:rPr>
        <w:rFonts w:ascii="Wingdings" w:hAnsi="Wingdings" w:hint="default"/>
      </w:rPr>
    </w:lvl>
    <w:lvl w:ilvl="3" w:tplc="08090001" w:tentative="1">
      <w:start w:val="1"/>
      <w:numFmt w:val="bullet"/>
      <w:lvlText w:val=""/>
      <w:lvlJc w:val="left"/>
      <w:pPr>
        <w:tabs>
          <w:tab w:val="num" w:pos="3590"/>
        </w:tabs>
        <w:ind w:left="3590" w:hanging="360"/>
      </w:pPr>
      <w:rPr>
        <w:rFonts w:ascii="Symbol" w:hAnsi="Symbol" w:hint="default"/>
      </w:rPr>
    </w:lvl>
    <w:lvl w:ilvl="4" w:tplc="08090003" w:tentative="1">
      <w:start w:val="1"/>
      <w:numFmt w:val="bullet"/>
      <w:lvlText w:val="o"/>
      <w:lvlJc w:val="left"/>
      <w:pPr>
        <w:tabs>
          <w:tab w:val="num" w:pos="4310"/>
        </w:tabs>
        <w:ind w:left="4310" w:hanging="360"/>
      </w:pPr>
      <w:rPr>
        <w:rFonts w:ascii="Courier New" w:hAnsi="Courier New" w:cs="Courier New" w:hint="default"/>
      </w:rPr>
    </w:lvl>
    <w:lvl w:ilvl="5" w:tplc="08090005" w:tentative="1">
      <w:start w:val="1"/>
      <w:numFmt w:val="bullet"/>
      <w:lvlText w:val=""/>
      <w:lvlJc w:val="left"/>
      <w:pPr>
        <w:tabs>
          <w:tab w:val="num" w:pos="5030"/>
        </w:tabs>
        <w:ind w:left="5030" w:hanging="360"/>
      </w:pPr>
      <w:rPr>
        <w:rFonts w:ascii="Wingdings" w:hAnsi="Wingdings" w:hint="default"/>
      </w:rPr>
    </w:lvl>
    <w:lvl w:ilvl="6" w:tplc="08090001" w:tentative="1">
      <w:start w:val="1"/>
      <w:numFmt w:val="bullet"/>
      <w:lvlText w:val=""/>
      <w:lvlJc w:val="left"/>
      <w:pPr>
        <w:tabs>
          <w:tab w:val="num" w:pos="5750"/>
        </w:tabs>
        <w:ind w:left="5750" w:hanging="360"/>
      </w:pPr>
      <w:rPr>
        <w:rFonts w:ascii="Symbol" w:hAnsi="Symbol" w:hint="default"/>
      </w:rPr>
    </w:lvl>
    <w:lvl w:ilvl="7" w:tplc="08090003" w:tentative="1">
      <w:start w:val="1"/>
      <w:numFmt w:val="bullet"/>
      <w:lvlText w:val="o"/>
      <w:lvlJc w:val="left"/>
      <w:pPr>
        <w:tabs>
          <w:tab w:val="num" w:pos="6470"/>
        </w:tabs>
        <w:ind w:left="6470" w:hanging="360"/>
      </w:pPr>
      <w:rPr>
        <w:rFonts w:ascii="Courier New" w:hAnsi="Courier New" w:cs="Courier New" w:hint="default"/>
      </w:rPr>
    </w:lvl>
    <w:lvl w:ilvl="8" w:tplc="08090005" w:tentative="1">
      <w:start w:val="1"/>
      <w:numFmt w:val="bullet"/>
      <w:lvlText w:val=""/>
      <w:lvlJc w:val="left"/>
      <w:pPr>
        <w:tabs>
          <w:tab w:val="num" w:pos="7190"/>
        </w:tabs>
        <w:ind w:left="7190" w:hanging="360"/>
      </w:pPr>
      <w:rPr>
        <w:rFonts w:ascii="Wingdings" w:hAnsi="Wingdings" w:hint="default"/>
      </w:rPr>
    </w:lvl>
  </w:abstractNum>
  <w:abstractNum w:abstractNumId="2" w15:restartNumberingAfterBreak="0">
    <w:nsid w:val="0E340AA2"/>
    <w:multiLevelType w:val="hybridMultilevel"/>
    <w:tmpl w:val="77E40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EE6033"/>
    <w:multiLevelType w:val="hybridMultilevel"/>
    <w:tmpl w:val="C360B7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976CF8"/>
    <w:multiLevelType w:val="hybridMultilevel"/>
    <w:tmpl w:val="6016AC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9472B3"/>
    <w:multiLevelType w:val="hybridMultilevel"/>
    <w:tmpl w:val="C45CB7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3D76C87"/>
    <w:multiLevelType w:val="hybridMultilevel"/>
    <w:tmpl w:val="88F830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EF7F53"/>
    <w:multiLevelType w:val="hybridMultilevel"/>
    <w:tmpl w:val="BC849C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F83D9F"/>
    <w:multiLevelType w:val="hybridMultilevel"/>
    <w:tmpl w:val="BE122F22"/>
    <w:lvl w:ilvl="0" w:tplc="143EF870">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1151D34"/>
    <w:multiLevelType w:val="hybridMultilevel"/>
    <w:tmpl w:val="2AE2675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A068A4"/>
    <w:multiLevelType w:val="hybridMultilevel"/>
    <w:tmpl w:val="DE1ED4C8"/>
    <w:lvl w:ilvl="0" w:tplc="08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5"/>
  </w:num>
  <w:num w:numId="4">
    <w:abstractNumId w:val="8"/>
  </w:num>
  <w:num w:numId="5">
    <w:abstractNumId w:val="7"/>
  </w:num>
  <w:num w:numId="6">
    <w:abstractNumId w:val="1"/>
  </w:num>
  <w:num w:numId="7">
    <w:abstractNumId w:val="0"/>
  </w:num>
  <w:num w:numId="8">
    <w:abstractNumId w:val="3"/>
  </w:num>
  <w:num w:numId="9">
    <w:abstractNumId w:val="6"/>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A26"/>
    <w:rsid w:val="00001866"/>
    <w:rsid w:val="000B3C0F"/>
    <w:rsid w:val="000B4542"/>
    <w:rsid w:val="00115284"/>
    <w:rsid w:val="0015027E"/>
    <w:rsid w:val="00165953"/>
    <w:rsid w:val="0016702E"/>
    <w:rsid w:val="00235DFC"/>
    <w:rsid w:val="002547D8"/>
    <w:rsid w:val="00284C11"/>
    <w:rsid w:val="002A1D00"/>
    <w:rsid w:val="00302282"/>
    <w:rsid w:val="0034733E"/>
    <w:rsid w:val="0035675E"/>
    <w:rsid w:val="003869BB"/>
    <w:rsid w:val="00507868"/>
    <w:rsid w:val="00547F18"/>
    <w:rsid w:val="005F05B9"/>
    <w:rsid w:val="006B4D96"/>
    <w:rsid w:val="006F1238"/>
    <w:rsid w:val="008329DA"/>
    <w:rsid w:val="008742B0"/>
    <w:rsid w:val="00876E42"/>
    <w:rsid w:val="008E00E7"/>
    <w:rsid w:val="009213B7"/>
    <w:rsid w:val="00AF72F5"/>
    <w:rsid w:val="00BF1FF3"/>
    <w:rsid w:val="00C52626"/>
    <w:rsid w:val="00CB2A86"/>
    <w:rsid w:val="00CC1FDB"/>
    <w:rsid w:val="00CF1D0F"/>
    <w:rsid w:val="00D91722"/>
    <w:rsid w:val="00E00A26"/>
    <w:rsid w:val="00EA43BC"/>
    <w:rsid w:val="00EA76B7"/>
    <w:rsid w:val="00F162D7"/>
    <w:rsid w:val="00F17952"/>
    <w:rsid w:val="00F405DE"/>
    <w:rsid w:val="00FA7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18FDB6-B935-4D34-B555-61C9BB6B5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A26"/>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E00A26"/>
    <w:pPr>
      <w:keepNext/>
      <w:outlineLvl w:val="0"/>
    </w:pPr>
    <w:rPr>
      <w:b/>
    </w:rPr>
  </w:style>
  <w:style w:type="paragraph" w:styleId="Heading2">
    <w:name w:val="heading 2"/>
    <w:basedOn w:val="Normal"/>
    <w:next w:val="Normal"/>
    <w:link w:val="Heading2Char"/>
    <w:qFormat/>
    <w:rsid w:val="00E00A26"/>
    <w:pPr>
      <w:keepNext/>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0A26"/>
    <w:rPr>
      <w:rFonts w:ascii="Arial" w:eastAsia="Times New Roman" w:hAnsi="Arial" w:cs="Times New Roman"/>
      <w:b/>
      <w:sz w:val="24"/>
      <w:szCs w:val="20"/>
    </w:rPr>
  </w:style>
  <w:style w:type="character" w:customStyle="1" w:styleId="Heading2Char">
    <w:name w:val="Heading 2 Char"/>
    <w:basedOn w:val="DefaultParagraphFont"/>
    <w:link w:val="Heading2"/>
    <w:rsid w:val="00E00A26"/>
    <w:rPr>
      <w:rFonts w:ascii="Arial" w:eastAsia="Times New Roman" w:hAnsi="Arial" w:cs="Times New Roman"/>
      <w:b/>
      <w:szCs w:val="20"/>
    </w:rPr>
  </w:style>
  <w:style w:type="paragraph" w:styleId="Header">
    <w:name w:val="header"/>
    <w:basedOn w:val="Normal"/>
    <w:link w:val="HeaderChar"/>
    <w:rsid w:val="00E00A26"/>
    <w:pPr>
      <w:tabs>
        <w:tab w:val="center" w:pos="4153"/>
        <w:tab w:val="right" w:pos="8306"/>
      </w:tabs>
    </w:pPr>
  </w:style>
  <w:style w:type="character" w:customStyle="1" w:styleId="HeaderChar">
    <w:name w:val="Header Char"/>
    <w:basedOn w:val="DefaultParagraphFont"/>
    <w:link w:val="Header"/>
    <w:rsid w:val="00E00A26"/>
    <w:rPr>
      <w:rFonts w:ascii="Arial" w:eastAsia="Times New Roman" w:hAnsi="Arial" w:cs="Times New Roman"/>
      <w:sz w:val="24"/>
      <w:szCs w:val="20"/>
    </w:rPr>
  </w:style>
  <w:style w:type="paragraph" w:styleId="Footer">
    <w:name w:val="footer"/>
    <w:basedOn w:val="Normal"/>
    <w:link w:val="FooterChar"/>
    <w:uiPriority w:val="99"/>
    <w:rsid w:val="00E00A26"/>
    <w:pPr>
      <w:tabs>
        <w:tab w:val="center" w:pos="4153"/>
        <w:tab w:val="right" w:pos="8306"/>
      </w:tabs>
    </w:pPr>
  </w:style>
  <w:style w:type="character" w:customStyle="1" w:styleId="FooterChar">
    <w:name w:val="Footer Char"/>
    <w:basedOn w:val="DefaultParagraphFont"/>
    <w:link w:val="Footer"/>
    <w:uiPriority w:val="99"/>
    <w:rsid w:val="00E00A26"/>
    <w:rPr>
      <w:rFonts w:ascii="Arial" w:eastAsia="Times New Roman" w:hAnsi="Arial" w:cs="Times New Roman"/>
      <w:sz w:val="24"/>
      <w:szCs w:val="20"/>
    </w:rPr>
  </w:style>
  <w:style w:type="character" w:styleId="Hyperlink">
    <w:name w:val="Hyperlink"/>
    <w:rsid w:val="00E00A26"/>
    <w:rPr>
      <w:color w:val="0000FF"/>
      <w:u w:val="single"/>
    </w:rPr>
  </w:style>
  <w:style w:type="paragraph" w:customStyle="1" w:styleId="Default">
    <w:name w:val="Default"/>
    <w:rsid w:val="00E00A26"/>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Paragraph">
    <w:name w:val="List Paragraph"/>
    <w:basedOn w:val="Normal"/>
    <w:uiPriority w:val="34"/>
    <w:qFormat/>
    <w:rsid w:val="00507868"/>
    <w:pPr>
      <w:spacing w:after="160" w:line="259" w:lineRule="auto"/>
      <w:ind w:left="720"/>
      <w:contextualSpacing/>
    </w:pPr>
    <w:rPr>
      <w:rFonts w:asciiTheme="minorHAnsi" w:eastAsiaTheme="minorHAnsi" w:hAnsiTheme="minorHAnsi" w:cstheme="minorBidi"/>
      <w:sz w:val="22"/>
      <w:szCs w:val="22"/>
    </w:rPr>
  </w:style>
  <w:style w:type="paragraph" w:customStyle="1" w:styleId="Standard">
    <w:name w:val="Standard"/>
    <w:rsid w:val="00EA43BC"/>
    <w:pPr>
      <w:widowControl w:val="0"/>
      <w:suppressAutoHyphens/>
      <w:autoSpaceDN w:val="0"/>
      <w:spacing w:after="0" w:line="240" w:lineRule="auto"/>
      <w:textAlignment w:val="baseline"/>
    </w:pPr>
    <w:rPr>
      <w:rFonts w:ascii="Arial" w:eastAsia="Arial" w:hAnsi="Arial" w:cs="Arial"/>
      <w:sz w:val="24"/>
      <w:szCs w:val="24"/>
      <w:lang w:eastAsia="zh-CN" w:bidi="hi-IN"/>
    </w:rPr>
  </w:style>
  <w:style w:type="paragraph" w:customStyle="1" w:styleId="Textbody">
    <w:name w:val="Text body"/>
    <w:basedOn w:val="Standard"/>
    <w:rsid w:val="008329DA"/>
    <w:pPr>
      <w:spacing w:after="14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ogle.co.uk/url?sa=t&amp;rct=j&amp;q=&amp;esrc=s&amp;source=web&amp;cd=1&amp;ved=0ahUKEwij_q-kganSAhXEDsAKHZoeBgcQFggcMAA&amp;url=https%3A%2F%2Fwww.ons.gov.uk%2Fons%2Fguide-method%2Fharmonisation%2Fprimary-set-of-harmonised-concepts-and-questions%2Fethnic-group.pdf&amp;usg=AFQjCNFH-QwgZzHMg_lyyP4rhOqS2uZWjw" TargetMode="External"/><Relationship Id="rId18" Type="http://schemas.openxmlformats.org/officeDocument/2006/relationships/hyperlink" Target="https://www.glasgow.gov.uk/index.aspx?articleid=17533" TargetMode="External"/><Relationship Id="rId3" Type="http://schemas.openxmlformats.org/officeDocument/2006/relationships/customXml" Target="../customXml/item3.xml"/><Relationship Id="rId21" Type="http://schemas.openxmlformats.org/officeDocument/2006/relationships/hyperlink" Target="https://www.gov.scot/binaries/content/documents/govscot/publications/guidance/2018/03/fairer-scotland-duty-interim-guidance-public-bodies/documents/00533417-pdf/00533417-pdf/govscot%3Adocument"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glasgow.gov.uk/index.aspx?articleid=17533" TargetMode="External"/><Relationship Id="rId2" Type="http://schemas.openxmlformats.org/officeDocument/2006/relationships/customXml" Target="../customXml/item2.xml"/><Relationship Id="rId16" Type="http://schemas.openxmlformats.org/officeDocument/2006/relationships/hyperlink" Target="https://www.google.co.uk/url?sa=t&amp;rct=j&amp;q=&amp;esrc=s&amp;source=web&amp;cd=2&amp;ved=0ahUKEwi0tbauhqnSAhVkDMAKHRrOBtAQFggkMAE&amp;url=https%3A%2F%2Fwww.ons.gov.uk%2Fons%2Fguide-method%2Fharmonisation%2Fsecondary-set-of-harmonised-concepts-and-questions%2Fnational-and-religious-identity.pdf&amp;usg=AFQjCNEq3xYwRxcbtwe3qqtyFgstlLd1WQ&amp;bvm=bv.148073327,d.ZGg" TargetMode="External"/><Relationship Id="rId20" Type="http://schemas.openxmlformats.org/officeDocument/2006/relationships/hyperlink" Target="http://www.equalityhumanrights.com/about-us/devolved-authorities/the-commission-in-scotland/legal-news-in-about-us/devolved-authorities/the-commission-in-scotland/articles/understanding-the-scottish-specific-public-sector-equality-dut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ogle.co.uk/url?sa=t&amp;rct=j&amp;q=&amp;esrc=s&amp;source=web&amp;cd=2&amp;ved=0ahUKEwi0tbauhqnSAhVkDMAKHRrOBtAQFggkMAE&amp;url=https%3A%2F%2Fwww.ons.gov.uk%2Fons%2Fguide-method%2Fharmonisation%2Fsecondary-set-of-harmonised-concepts-and-questions%2Fnational-and-religious-identity.pdf&amp;usg=AFQjCNEq3xYwRxcbtwe3qqtyFgstlLd1WQ&amp;bvm=bv.148073327,d.ZG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equality-act-2010-guid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definition-of-disability-under-equality-act-201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4CE5976964E246BEAE66EFAE055DE3" ma:contentTypeVersion="1" ma:contentTypeDescription="Create a new document." ma:contentTypeScope="" ma:versionID="ef3599c04313d33d7034e82b8a86bfbe">
  <xsd:schema xmlns:xsd="http://www.w3.org/2001/XMLSchema" xmlns:xs="http://www.w3.org/2001/XMLSchema" xmlns:p="http://schemas.microsoft.com/office/2006/metadata/properties" xmlns:ns1="http://schemas.microsoft.com/sharepoint/v3" targetNamespace="http://schemas.microsoft.com/office/2006/metadata/properties" ma:root="true" ma:fieldsID="252eebd8020f1fad0e14e5acdf80082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sisl xmlns:xsi="http://www.w3.org/2001/XMLSchema-instance" xmlns:xsd="http://www.w3.org/2001/XMLSchema" xmlns="http://www.boldonjames.com/2008/01/sie/internal/label" sislVersion="0" policy="08955827-aeb1-42de-b749-f604362c41c2" origin="userSelected">
  <element uid="de190743-cbc9-4414-8778-0e0b8638ef61" value=""/>
  <element uid="e3747532-42d1-43b9-8ba8-1bf45779edd5" value=""/>
</sisl>
</file>

<file path=customXml/itemProps1.xml><?xml version="1.0" encoding="utf-8"?>
<ds:datastoreItem xmlns:ds="http://schemas.openxmlformats.org/officeDocument/2006/customXml" ds:itemID="{7F8258BB-F823-4076-A3DE-E5DBDD5DFC46}">
  <ds:schemaRefs>
    <ds:schemaRef ds:uri="http://schemas.microsoft.com/sharepoint/v3/contenttype/forms"/>
  </ds:schemaRefs>
</ds:datastoreItem>
</file>

<file path=customXml/itemProps2.xml><?xml version="1.0" encoding="utf-8"?>
<ds:datastoreItem xmlns:ds="http://schemas.openxmlformats.org/officeDocument/2006/customXml" ds:itemID="{BC99C7CD-5B4C-42C1-BDF8-CC741E000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F3B053-F89C-4DD4-BE8E-C015E9356A84}">
  <ds:schemaRef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dcmitype/"/>
    <ds:schemaRef ds:uri="http://www.w3.org/XML/1998/namespace"/>
    <ds:schemaRef ds:uri="http://schemas.microsoft.com/sharepoint/v3"/>
  </ds:schemaRefs>
</ds:datastoreItem>
</file>

<file path=customXml/itemProps4.xml><?xml version="1.0" encoding="utf-8"?>
<ds:datastoreItem xmlns:ds="http://schemas.openxmlformats.org/officeDocument/2006/customXml" ds:itemID="{975F8D2D-39B4-49A9-AECC-D3D57C5D894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16</Pages>
  <Words>3788</Words>
  <Characters>20874</Characters>
  <Application>Microsoft Office Word</Application>
  <DocSecurity>0</DocSecurity>
  <Lines>1043</Lines>
  <Paragraphs>333</Paragraphs>
  <ScaleCrop>false</ScaleCrop>
  <HeadingPairs>
    <vt:vector size="2" baseType="variant">
      <vt:variant>
        <vt:lpstr>Title</vt:lpstr>
      </vt:variant>
      <vt:variant>
        <vt:i4>1</vt:i4>
      </vt:variant>
    </vt:vector>
  </HeadingPairs>
  <TitlesOfParts>
    <vt:vector size="1" baseType="lpstr">
      <vt:lpstr>GL EqIA Form 2019</vt:lpstr>
    </vt:vector>
  </TitlesOfParts>
  <Company>Glasgow Life</Company>
  <LinksUpToDate>false</LinksUpToDate>
  <CharactersWithSpaces>24329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 EqIA Form 2019</dc:title>
  <dc:subject/>
  <dc:creator>MacLean, Helen (Glasgow Life)</dc:creator>
  <cp:keywords>[NOT OFFICIAL]</cp:keywords>
  <dc:description/>
  <cp:lastModifiedBy>Speirs, Alan (Social Work)</cp:lastModifiedBy>
  <cp:revision>4</cp:revision>
  <dcterms:created xsi:type="dcterms:W3CDTF">2020-12-23T13:45:00Z</dcterms:created>
  <dcterms:modified xsi:type="dcterms:W3CDTF">2020-12-23T14:14:00Z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0x010100AA4CE5976964E246BEAE66EFAE055DE3</vt:lpwstr>
  </property>
  <property fmtid="{D5CDD505-2E9C-101B-9397-08002B2CF9AE}" pid="3" name="docIndexRef">
    <vt:lpwstr>a80ebc95-7307-4f07-a423-e1823039f18b</vt:lpwstr>
  </property>
  <property fmtid="{D5CDD505-2E9C-101B-9397-08002B2CF9AE}" pid="4" name="bjSaver">
    <vt:lpwstr>sLcreUkfqQ2uNBHsmI2poqSHRCLIC+hF</vt:lpwstr>
  </property>
  <property fmtid="{D5CDD505-2E9C-101B-9397-08002B2CF9AE}" pid="5"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6" name="bjDocumentLabelXML-0">
    <vt:lpwstr>ames.com/2008/01/sie/internal/label"&gt;&lt;element uid="de190743-cbc9-4414-8778-0e0b8638ef61" value="" /&gt;&lt;element uid="e3747532-42d1-43b9-8ba8-1bf45779edd5" value="" /&gt;&lt;/sisl&gt;</vt:lpwstr>
  </property>
  <property fmtid="{D5CDD505-2E9C-101B-9397-08002B2CF9AE}" pid="7" name="bjDocumentSecurityLabel">
    <vt:lpwstr>NOT OFFICIAL</vt:lpwstr>
  </property>
  <property fmtid="{D5CDD505-2E9C-101B-9397-08002B2CF9AE}" pid="8" name="gcc-meta-protectivemarking">
    <vt:lpwstr>[NOT OFFICIAL]</vt:lpwstr>
  </property>
</Properties>
</file>