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EA" w:rsidRDefault="00CE1909" w:rsidP="00530518">
      <w:pPr>
        <w:jc w:val="center"/>
        <w:rPr>
          <w:b/>
          <w:sz w:val="40"/>
          <w:szCs w:val="40"/>
        </w:rPr>
      </w:pPr>
      <w:r w:rsidRPr="002101EA">
        <w:rPr>
          <w:b/>
          <w:sz w:val="40"/>
          <w:szCs w:val="40"/>
        </w:rPr>
        <w:t>EQUALITY IMPACT ASS</w:t>
      </w:r>
      <w:bookmarkStart w:id="0" w:name="_GoBack"/>
      <w:bookmarkEnd w:id="0"/>
      <w:r w:rsidRPr="002101EA">
        <w:rPr>
          <w:b/>
          <w:sz w:val="40"/>
          <w:szCs w:val="40"/>
        </w:rPr>
        <w:t>ESSMENT (EQIA)</w:t>
      </w:r>
      <w:r w:rsidR="00530518" w:rsidRPr="002101EA">
        <w:rPr>
          <w:b/>
          <w:sz w:val="40"/>
          <w:szCs w:val="40"/>
        </w:rPr>
        <w:t xml:space="preserve">: </w:t>
      </w:r>
    </w:p>
    <w:p w:rsidR="00CE1909" w:rsidRPr="002101EA" w:rsidRDefault="00CE1909" w:rsidP="00530518">
      <w:pPr>
        <w:jc w:val="center"/>
        <w:rPr>
          <w:b/>
          <w:sz w:val="40"/>
          <w:szCs w:val="40"/>
        </w:rPr>
      </w:pPr>
      <w:r w:rsidRPr="002101EA">
        <w:rPr>
          <w:b/>
          <w:sz w:val="40"/>
          <w:szCs w:val="40"/>
        </w:rPr>
        <w:t>SCREENING FORM</w:t>
      </w:r>
    </w:p>
    <w:p w:rsidR="00BA61E4" w:rsidRDefault="00BA61E4" w:rsidP="00716EFA">
      <w:pPr>
        <w:pStyle w:val="Default"/>
        <w:ind w:left="360"/>
        <w:jc w:val="both"/>
        <w:rPr>
          <w:sz w:val="22"/>
          <w:szCs w:val="28"/>
        </w:rPr>
      </w:pPr>
    </w:p>
    <w:p w:rsidR="00CE1909" w:rsidRPr="002101EA" w:rsidRDefault="00716EFA" w:rsidP="00716EFA">
      <w:pPr>
        <w:pStyle w:val="Default"/>
        <w:ind w:left="360"/>
        <w:jc w:val="both"/>
      </w:pPr>
      <w:r w:rsidRPr="002101EA">
        <w:t>I</w:t>
      </w:r>
      <w:r w:rsidR="00CE1909" w:rsidRPr="002101EA">
        <w:t xml:space="preserve">ntroduction to the EQIA </w:t>
      </w:r>
      <w:r w:rsidRPr="002101EA">
        <w:t xml:space="preserve">screening </w:t>
      </w:r>
      <w:r w:rsidR="00CE1909" w:rsidRPr="002101EA">
        <w:t xml:space="preserve">process </w:t>
      </w:r>
    </w:p>
    <w:p w:rsidR="00CE1909" w:rsidRPr="002101EA" w:rsidRDefault="00CE1909" w:rsidP="00CE1909">
      <w:pPr>
        <w:pStyle w:val="Default"/>
        <w:ind w:left="360"/>
        <w:jc w:val="both"/>
      </w:pPr>
    </w:p>
    <w:p w:rsidR="00716EFA" w:rsidRPr="002101EA" w:rsidRDefault="00CE1909" w:rsidP="00716EFA">
      <w:pPr>
        <w:pStyle w:val="Default"/>
        <w:ind w:left="360"/>
        <w:jc w:val="both"/>
      </w:pPr>
      <w:r w:rsidRPr="002101EA">
        <w:t xml:space="preserve">A successful </w:t>
      </w:r>
      <w:r w:rsidRPr="002101EA">
        <w:rPr>
          <w:u w:val="single"/>
        </w:rPr>
        <w:t>EQIA</w:t>
      </w:r>
      <w:r w:rsidR="00530518" w:rsidRPr="002101EA">
        <w:rPr>
          <w:u w:val="single"/>
        </w:rPr>
        <w:t xml:space="preserve"> screening</w:t>
      </w:r>
      <w:r w:rsidRPr="002101EA">
        <w:rPr>
          <w:u w:val="single"/>
        </w:rPr>
        <w:t xml:space="preserve"> </w:t>
      </w:r>
      <w:r w:rsidRPr="002101EA">
        <w:t xml:space="preserve">will look at 5 key areas: </w:t>
      </w:r>
    </w:p>
    <w:p w:rsidR="00CE1909" w:rsidRPr="002101EA" w:rsidRDefault="00CE1909" w:rsidP="00CE1909">
      <w:pPr>
        <w:pStyle w:val="Default"/>
        <w:jc w:val="both"/>
      </w:pPr>
    </w:p>
    <w:p w:rsidR="00BA61E4" w:rsidRPr="002101EA" w:rsidRDefault="00CE1909" w:rsidP="005272A9">
      <w:pPr>
        <w:pStyle w:val="Default"/>
        <w:numPr>
          <w:ilvl w:val="0"/>
          <w:numId w:val="7"/>
        </w:numPr>
        <w:jc w:val="both"/>
      </w:pPr>
      <w:r w:rsidRPr="002101EA">
        <w:rPr>
          <w:b/>
          <w:bCs/>
        </w:rPr>
        <w:t xml:space="preserve">Identify the Policy, Project, </w:t>
      </w:r>
      <w:r w:rsidR="00716EFA" w:rsidRPr="002101EA">
        <w:rPr>
          <w:b/>
          <w:bCs/>
        </w:rPr>
        <w:t xml:space="preserve">Service Reform </w:t>
      </w:r>
      <w:r w:rsidRPr="002101EA">
        <w:rPr>
          <w:b/>
          <w:bCs/>
        </w:rPr>
        <w:t xml:space="preserve">or </w:t>
      </w:r>
      <w:r w:rsidR="00716EFA" w:rsidRPr="002101EA">
        <w:rPr>
          <w:b/>
          <w:bCs/>
        </w:rPr>
        <w:t>Budget Option</w:t>
      </w:r>
      <w:r w:rsidRPr="002101EA">
        <w:rPr>
          <w:b/>
          <w:bCs/>
        </w:rPr>
        <w:t xml:space="preserve"> to be assessed</w:t>
      </w:r>
    </w:p>
    <w:p w:rsidR="00CE1909" w:rsidRPr="002101EA" w:rsidRDefault="00BA61E4" w:rsidP="00BA61E4">
      <w:pPr>
        <w:pStyle w:val="Default"/>
        <w:ind w:left="360" w:firstLine="360"/>
        <w:jc w:val="both"/>
      </w:pPr>
      <w:r w:rsidRPr="002101EA">
        <w:t>A</w:t>
      </w:r>
      <w:r w:rsidR="00CE1909" w:rsidRPr="002101EA">
        <w:t xml:space="preserve"> clear definition</w:t>
      </w:r>
      <w:r w:rsidRPr="002101EA">
        <w:t xml:space="preserve"> of what is being screened</w:t>
      </w:r>
      <w:r w:rsidR="00CE1909" w:rsidRPr="002101EA">
        <w:t xml:space="preserve"> and its aims </w:t>
      </w:r>
    </w:p>
    <w:p w:rsidR="00716EFA" w:rsidRPr="002101EA" w:rsidRDefault="00716EFA" w:rsidP="00BA61E4">
      <w:pPr>
        <w:pStyle w:val="Default"/>
        <w:ind w:left="360"/>
        <w:jc w:val="both"/>
      </w:pPr>
    </w:p>
    <w:p w:rsidR="00BA61E4" w:rsidRPr="002101EA" w:rsidRDefault="0008714A" w:rsidP="005272A9">
      <w:pPr>
        <w:pStyle w:val="Default"/>
        <w:numPr>
          <w:ilvl w:val="0"/>
          <w:numId w:val="7"/>
        </w:numPr>
        <w:jc w:val="both"/>
      </w:pPr>
      <w:r w:rsidRPr="002101EA">
        <w:rPr>
          <w:b/>
          <w:bCs/>
        </w:rPr>
        <w:t>Gathering Evidence &amp; Stakeholder Engagement</w:t>
      </w:r>
    </w:p>
    <w:p w:rsidR="00CE1909" w:rsidRPr="002101EA" w:rsidRDefault="00CE1909" w:rsidP="00BA61E4">
      <w:pPr>
        <w:pStyle w:val="Default"/>
        <w:ind w:left="720"/>
        <w:jc w:val="both"/>
      </w:pPr>
      <w:r w:rsidRPr="002101EA">
        <w:t>Collect data</w:t>
      </w:r>
      <w:r w:rsidRPr="002101EA">
        <w:rPr>
          <w:b/>
          <w:bCs/>
        </w:rPr>
        <w:t xml:space="preserve"> </w:t>
      </w:r>
      <w:r w:rsidRPr="002101EA">
        <w:t>to evidence the type of barriers people face to accessing services (research, consultations, complaints</w:t>
      </w:r>
      <w:r w:rsidRPr="002101EA">
        <w:rPr>
          <w:b/>
          <w:bCs/>
        </w:rPr>
        <w:t xml:space="preserve"> </w:t>
      </w:r>
      <w:r w:rsidRPr="002101EA">
        <w:t>and/o</w:t>
      </w:r>
      <w:r w:rsidR="00FF7D81" w:rsidRPr="002101EA">
        <w:t>r consult with equality groups</w:t>
      </w:r>
      <w:r w:rsidR="00961760" w:rsidRPr="002101EA">
        <w:t>)</w:t>
      </w:r>
    </w:p>
    <w:p w:rsidR="00716EFA" w:rsidRPr="002101EA" w:rsidRDefault="00716EFA" w:rsidP="00BA61E4">
      <w:pPr>
        <w:pStyle w:val="Default"/>
        <w:jc w:val="both"/>
      </w:pPr>
    </w:p>
    <w:p w:rsidR="00BA61E4" w:rsidRPr="002101EA" w:rsidRDefault="0008714A" w:rsidP="005272A9">
      <w:pPr>
        <w:pStyle w:val="Default"/>
        <w:numPr>
          <w:ilvl w:val="0"/>
          <w:numId w:val="7"/>
        </w:numPr>
        <w:jc w:val="both"/>
      </w:pPr>
      <w:r w:rsidRPr="002101EA">
        <w:rPr>
          <w:b/>
          <w:bCs/>
        </w:rPr>
        <w:t xml:space="preserve">Assessment &amp; </w:t>
      </w:r>
      <w:r w:rsidR="00716EFA" w:rsidRPr="002101EA">
        <w:rPr>
          <w:b/>
          <w:bCs/>
        </w:rPr>
        <w:t xml:space="preserve">Differential </w:t>
      </w:r>
      <w:r w:rsidR="00CE1909" w:rsidRPr="002101EA">
        <w:rPr>
          <w:b/>
          <w:bCs/>
        </w:rPr>
        <w:t>Impact</w:t>
      </w:r>
      <w:r w:rsidRPr="002101EA">
        <w:rPr>
          <w:b/>
          <w:bCs/>
        </w:rPr>
        <w:t>s</w:t>
      </w:r>
    </w:p>
    <w:p w:rsidR="00CE1909" w:rsidRPr="002101EA" w:rsidRDefault="00BA61E4" w:rsidP="00BA61E4">
      <w:pPr>
        <w:pStyle w:val="Default"/>
        <w:ind w:left="360" w:firstLine="360"/>
        <w:jc w:val="both"/>
      </w:pPr>
      <w:r w:rsidRPr="002101EA">
        <w:t>R</w:t>
      </w:r>
      <w:r w:rsidR="00CE1909" w:rsidRPr="002101EA">
        <w:t>eaching an informed decision on whether or not there is a differential impact on equa</w:t>
      </w:r>
      <w:r w:rsidR="00FF7D81" w:rsidRPr="002101EA">
        <w:t>lity groups, and at what level</w:t>
      </w:r>
    </w:p>
    <w:p w:rsidR="00716EFA" w:rsidRPr="002101EA" w:rsidRDefault="00716EFA" w:rsidP="00BA61E4">
      <w:pPr>
        <w:pStyle w:val="Default"/>
        <w:jc w:val="both"/>
      </w:pPr>
    </w:p>
    <w:p w:rsidR="00BA61E4" w:rsidRPr="002101EA" w:rsidRDefault="0008714A" w:rsidP="005272A9">
      <w:pPr>
        <w:numPr>
          <w:ilvl w:val="0"/>
          <w:numId w:val="7"/>
        </w:numPr>
        <w:tabs>
          <w:tab w:val="left" w:pos="6062"/>
          <w:tab w:val="left" w:pos="11164"/>
          <w:tab w:val="left" w:pos="15276"/>
        </w:tabs>
        <w:rPr>
          <w:b/>
          <w:bCs/>
          <w:szCs w:val="24"/>
        </w:rPr>
      </w:pPr>
      <w:r w:rsidRPr="002101EA">
        <w:rPr>
          <w:b/>
          <w:bCs/>
          <w:szCs w:val="24"/>
        </w:rPr>
        <w:t xml:space="preserve">Outcomes, </w:t>
      </w:r>
      <w:r w:rsidR="00716EFA" w:rsidRPr="002101EA">
        <w:rPr>
          <w:b/>
          <w:bCs/>
          <w:szCs w:val="24"/>
        </w:rPr>
        <w:t>Action</w:t>
      </w:r>
      <w:r w:rsidRPr="002101EA">
        <w:rPr>
          <w:b/>
          <w:bCs/>
          <w:szCs w:val="24"/>
        </w:rPr>
        <w:t xml:space="preserve"> &amp; Public Reporting</w:t>
      </w:r>
    </w:p>
    <w:p w:rsidR="007073B2" w:rsidRPr="002101EA" w:rsidRDefault="00BA61E4" w:rsidP="007073B2">
      <w:pPr>
        <w:tabs>
          <w:tab w:val="left" w:pos="720"/>
          <w:tab w:val="left" w:pos="11164"/>
          <w:tab w:val="left" w:pos="15276"/>
        </w:tabs>
        <w:ind w:left="720"/>
        <w:rPr>
          <w:bCs/>
          <w:szCs w:val="24"/>
        </w:rPr>
      </w:pPr>
      <w:r w:rsidRPr="002101EA">
        <w:rPr>
          <w:szCs w:val="24"/>
        </w:rPr>
        <w:t>D</w:t>
      </w:r>
      <w:r w:rsidR="00CE1909" w:rsidRPr="002101EA">
        <w:rPr>
          <w:szCs w:val="24"/>
        </w:rPr>
        <w:t>evelop an action plan to make changes where a negative impact has been assessed</w:t>
      </w:r>
      <w:r w:rsidR="0008714A" w:rsidRPr="002101EA">
        <w:rPr>
          <w:bCs/>
          <w:szCs w:val="24"/>
        </w:rPr>
        <w:t>. Ensure that both the assessment outcomes and the actions taken to address negative impacts are publically reported</w:t>
      </w:r>
    </w:p>
    <w:p w:rsidR="007073B2" w:rsidRPr="002101EA" w:rsidRDefault="007073B2" w:rsidP="007073B2">
      <w:pPr>
        <w:tabs>
          <w:tab w:val="left" w:pos="720"/>
          <w:tab w:val="left" w:pos="11164"/>
          <w:tab w:val="left" w:pos="15276"/>
        </w:tabs>
        <w:ind w:left="720"/>
        <w:rPr>
          <w:bCs/>
          <w:szCs w:val="24"/>
        </w:rPr>
      </w:pPr>
    </w:p>
    <w:p w:rsidR="0008714A" w:rsidRPr="002101EA" w:rsidRDefault="0008714A" w:rsidP="005272A9">
      <w:pPr>
        <w:numPr>
          <w:ilvl w:val="0"/>
          <w:numId w:val="7"/>
        </w:numPr>
        <w:tabs>
          <w:tab w:val="left" w:pos="720"/>
          <w:tab w:val="left" w:pos="11164"/>
          <w:tab w:val="left" w:pos="15276"/>
        </w:tabs>
        <w:rPr>
          <w:bCs/>
          <w:szCs w:val="24"/>
        </w:rPr>
      </w:pPr>
      <w:r w:rsidRPr="002101EA">
        <w:rPr>
          <w:b/>
          <w:szCs w:val="24"/>
        </w:rPr>
        <w:t xml:space="preserve">Monitoring, Evaluation &amp; Review </w:t>
      </w:r>
    </w:p>
    <w:p w:rsidR="0008714A" w:rsidRDefault="00BA61E4" w:rsidP="00841B15">
      <w:pPr>
        <w:tabs>
          <w:tab w:val="left" w:pos="720"/>
        </w:tabs>
        <w:ind w:left="720"/>
        <w:rPr>
          <w:szCs w:val="24"/>
        </w:rPr>
      </w:pPr>
      <w:r w:rsidRPr="002101EA">
        <w:rPr>
          <w:szCs w:val="24"/>
        </w:rPr>
        <w:lastRenderedPageBreak/>
        <w:t>S</w:t>
      </w:r>
      <w:r w:rsidR="00CE1909" w:rsidRPr="002101EA">
        <w:rPr>
          <w:szCs w:val="24"/>
        </w:rPr>
        <w:t xml:space="preserve">tating how you will monitor and evaluate the </w:t>
      </w:r>
      <w:r w:rsidRPr="002101EA">
        <w:rPr>
          <w:b/>
          <w:bCs/>
          <w:szCs w:val="24"/>
        </w:rPr>
        <w:t>Policy, Project, Service Reform or Budget Option</w:t>
      </w:r>
      <w:r w:rsidR="00CE1909" w:rsidRPr="002101EA">
        <w:rPr>
          <w:szCs w:val="24"/>
        </w:rPr>
        <w:t xml:space="preserve"> to en</w:t>
      </w:r>
      <w:r w:rsidR="00B07F00" w:rsidRPr="002101EA">
        <w:rPr>
          <w:szCs w:val="24"/>
        </w:rPr>
        <w:t xml:space="preserve">sure that you are continuing to </w:t>
      </w:r>
      <w:r w:rsidR="00CE1909" w:rsidRPr="002101EA">
        <w:rPr>
          <w:szCs w:val="24"/>
        </w:rPr>
        <w:t>achieve the expected outcomes for all groups.</w:t>
      </w:r>
    </w:p>
    <w:p w:rsidR="00841B15" w:rsidRPr="00841B15" w:rsidRDefault="00841B15" w:rsidP="00841B15">
      <w:pPr>
        <w:tabs>
          <w:tab w:val="left" w:pos="720"/>
        </w:tabs>
        <w:ind w:left="720"/>
        <w:rPr>
          <w:szCs w:val="24"/>
        </w:rPr>
      </w:pPr>
    </w:p>
    <w:p w:rsidR="0008714A" w:rsidRPr="002101EA" w:rsidRDefault="0008714A" w:rsidP="00BA61E4">
      <w:pPr>
        <w:tabs>
          <w:tab w:val="left" w:pos="6062"/>
          <w:tab w:val="left" w:pos="11164"/>
          <w:tab w:val="left" w:pos="14580"/>
        </w:tabs>
        <w:ind w:left="-176"/>
        <w:rPr>
          <w:szCs w:val="24"/>
        </w:rPr>
        <w:sectPr w:rsidR="0008714A" w:rsidRPr="002101EA" w:rsidSect="002101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851" w:right="1440" w:bottom="1135" w:left="851" w:header="720" w:footer="720" w:gutter="0"/>
          <w:cols w:space="720"/>
        </w:sectPr>
      </w:pPr>
    </w:p>
    <w:p w:rsidR="00CE1909" w:rsidRDefault="00CE1909" w:rsidP="00CE1909">
      <w:pPr>
        <w:tabs>
          <w:tab w:val="left" w:pos="6062"/>
          <w:tab w:val="left" w:pos="11164"/>
          <w:tab w:val="left" w:pos="15276"/>
        </w:tabs>
        <w:ind w:left="-176"/>
        <w:rPr>
          <w:sz w:val="22"/>
        </w:rPr>
      </w:pPr>
    </w:p>
    <w:p w:rsidR="00CE1909" w:rsidRPr="00B04CFA" w:rsidRDefault="00716EFA" w:rsidP="00716EFA">
      <w:pPr>
        <w:tabs>
          <w:tab w:val="left" w:pos="6062"/>
          <w:tab w:val="left" w:pos="11164"/>
          <w:tab w:val="left" w:pos="15276"/>
        </w:tabs>
        <w:ind w:left="360"/>
        <w:rPr>
          <w:sz w:val="36"/>
          <w:szCs w:val="36"/>
        </w:rPr>
      </w:pPr>
      <w:r w:rsidRPr="00B04CFA">
        <w:rPr>
          <w:b/>
          <w:bCs/>
          <w:sz w:val="36"/>
          <w:szCs w:val="36"/>
        </w:rPr>
        <w:t>1. IDENTIFY THE POLICY, PROJECT, SERVICE REFORM OR BUDGET OPTION</w:t>
      </w:r>
      <w:r w:rsidR="00CE1909" w:rsidRPr="00B04CFA">
        <w:rPr>
          <w:sz w:val="36"/>
          <w:szCs w:val="36"/>
        </w:rPr>
        <w:t xml:space="preserve">: </w:t>
      </w:r>
    </w:p>
    <w:p w:rsidR="00BA61E4" w:rsidRPr="00841B15" w:rsidRDefault="00BA61E4" w:rsidP="00BA61E4">
      <w:pPr>
        <w:tabs>
          <w:tab w:val="left" w:pos="6062"/>
          <w:tab w:val="left" w:pos="11164"/>
          <w:tab w:val="left" w:pos="15276"/>
        </w:tabs>
        <w:rPr>
          <w:sz w:val="8"/>
          <w:szCs w:val="8"/>
        </w:rPr>
      </w:pPr>
      <w:r w:rsidRPr="00BA61E4">
        <w:rPr>
          <w:sz w:val="22"/>
        </w:rPr>
        <w:t xml:space="preserve"> </w:t>
      </w:r>
    </w:p>
    <w:p w:rsidR="00CE1909" w:rsidRPr="00163A6F" w:rsidRDefault="00BA61E4" w:rsidP="00163A6F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 xml:space="preserve">Name of the Policy, Project, Service Reform or Budget Option to be screened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530518" w:rsidRPr="00C87613" w:rsidTr="00C87613">
        <w:tc>
          <w:tcPr>
            <w:tcW w:w="14295" w:type="dxa"/>
            <w:shd w:val="clear" w:color="auto" w:fill="auto"/>
          </w:tcPr>
          <w:p w:rsidR="00530518" w:rsidRPr="00841B15" w:rsidRDefault="000068C3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rFonts w:cs="Arial"/>
                <w:sz w:val="22"/>
                <w:szCs w:val="22"/>
              </w:rPr>
            </w:pPr>
            <w:r w:rsidRPr="00841B15">
              <w:rPr>
                <w:rFonts w:cs="Arial"/>
                <w:sz w:val="22"/>
                <w:szCs w:val="22"/>
              </w:rPr>
              <w:t>Approach to allocating the Transitional Support Fund</w:t>
            </w:r>
          </w:p>
          <w:p w:rsidR="00530518" w:rsidRPr="00C87613" w:rsidRDefault="00530518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</w:p>
        </w:tc>
      </w:tr>
    </w:tbl>
    <w:p w:rsidR="00CE1909" w:rsidRDefault="00CE1909" w:rsidP="00530518">
      <w:pPr>
        <w:tabs>
          <w:tab w:val="left" w:pos="6062"/>
          <w:tab w:val="left" w:pos="11164"/>
          <w:tab w:val="left" w:pos="15276"/>
        </w:tabs>
        <w:rPr>
          <w:sz w:val="22"/>
        </w:rPr>
      </w:pPr>
    </w:p>
    <w:p w:rsidR="00CE1909" w:rsidRDefault="00163A6F" w:rsidP="005272A9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 w:rsidRPr="00163A6F">
        <w:rPr>
          <w:sz w:val="22"/>
        </w:rPr>
        <w:t>Reason for Change in Policy or Policy Development</w:t>
      </w:r>
      <w:r>
        <w:rPr>
          <w:sz w:val="22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530518" w:rsidRPr="00C87613" w:rsidTr="00163A6F">
        <w:trPr>
          <w:trHeight w:val="1111"/>
        </w:trPr>
        <w:tc>
          <w:tcPr>
            <w:tcW w:w="14295" w:type="dxa"/>
            <w:shd w:val="clear" w:color="auto" w:fill="auto"/>
          </w:tcPr>
          <w:p w:rsidR="000068C3" w:rsidRPr="00841B15" w:rsidRDefault="000068C3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rFonts w:cs="Arial"/>
                <w:szCs w:val="24"/>
              </w:rPr>
            </w:pPr>
            <w:r w:rsidRPr="00841B15">
              <w:rPr>
                <w:rFonts w:cs="Arial"/>
                <w:sz w:val="22"/>
                <w:szCs w:val="22"/>
              </w:rPr>
              <w:t xml:space="preserve">The City Administration Committee </w:t>
            </w:r>
            <w:r w:rsidR="00171C8D" w:rsidRPr="00841B15">
              <w:rPr>
                <w:rFonts w:cs="Arial"/>
                <w:sz w:val="22"/>
                <w:szCs w:val="22"/>
              </w:rPr>
              <w:t xml:space="preserve">(CAC) </w:t>
            </w:r>
            <w:r w:rsidRPr="00841B15">
              <w:rPr>
                <w:rFonts w:cs="Arial"/>
                <w:sz w:val="22"/>
                <w:szCs w:val="22"/>
              </w:rPr>
              <w:t xml:space="preserve">on 3 September 2020 agreed to create a Transitional Support Fund, to transfer up to £4m to this fund and to request a further report to </w:t>
            </w:r>
            <w:r w:rsidR="00171C8D" w:rsidRPr="00841B15">
              <w:rPr>
                <w:rFonts w:cs="Arial"/>
                <w:sz w:val="22"/>
                <w:szCs w:val="22"/>
              </w:rPr>
              <w:t xml:space="preserve">CAC </w:t>
            </w:r>
            <w:r w:rsidRPr="00841B15">
              <w:rPr>
                <w:rFonts w:cs="Arial"/>
                <w:sz w:val="22"/>
                <w:szCs w:val="22"/>
              </w:rPr>
              <w:t xml:space="preserve">on 17 September 2020 on the allocation of the fund.  This transitional support to be provided to organisations previously funded by the IGF and that unsuccessfully applied to the </w:t>
            </w:r>
            <w:r w:rsidR="00171C8D" w:rsidRPr="00841B15">
              <w:rPr>
                <w:rFonts w:cs="Arial"/>
                <w:sz w:val="22"/>
                <w:szCs w:val="22"/>
              </w:rPr>
              <w:t>Glasgow Communities Fund (</w:t>
            </w:r>
            <w:r w:rsidRPr="00841B15">
              <w:rPr>
                <w:rFonts w:cs="Arial"/>
                <w:sz w:val="22"/>
                <w:szCs w:val="22"/>
              </w:rPr>
              <w:t>GCF</w:t>
            </w:r>
            <w:r w:rsidR="00171C8D" w:rsidRPr="00841B15">
              <w:rPr>
                <w:rFonts w:cs="Arial"/>
                <w:sz w:val="22"/>
                <w:szCs w:val="22"/>
              </w:rPr>
              <w:t>)</w:t>
            </w:r>
            <w:r w:rsidRPr="00841B15">
              <w:rPr>
                <w:rFonts w:cs="Arial"/>
                <w:sz w:val="22"/>
                <w:szCs w:val="22"/>
              </w:rPr>
              <w:t xml:space="preserve"> with funding targeted on specific priorities.</w:t>
            </w:r>
          </w:p>
        </w:tc>
      </w:tr>
    </w:tbl>
    <w:p w:rsidR="00163A6F" w:rsidRPr="00163A6F" w:rsidRDefault="00163A6F" w:rsidP="00163A6F">
      <w:pPr>
        <w:tabs>
          <w:tab w:val="left" w:pos="6062"/>
          <w:tab w:val="left" w:pos="11164"/>
          <w:tab w:val="left" w:pos="15276"/>
        </w:tabs>
        <w:rPr>
          <w:sz w:val="22"/>
        </w:rPr>
      </w:pPr>
    </w:p>
    <w:p w:rsidR="00163A6F" w:rsidRPr="00163A6F" w:rsidRDefault="00163A6F" w:rsidP="00163A6F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>List main outcome focus and supporting activities of the Policy, Project, Service Reform or Budget Option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163A6F" w:rsidRPr="00C87613" w:rsidTr="005427A5">
        <w:trPr>
          <w:trHeight w:val="1111"/>
        </w:trPr>
        <w:tc>
          <w:tcPr>
            <w:tcW w:w="14295" w:type="dxa"/>
            <w:shd w:val="clear" w:color="auto" w:fill="auto"/>
          </w:tcPr>
          <w:p w:rsidR="000068C3" w:rsidRPr="00841B15" w:rsidRDefault="000068C3" w:rsidP="000068C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41B15">
              <w:rPr>
                <w:color w:val="auto"/>
                <w:sz w:val="22"/>
                <w:szCs w:val="22"/>
              </w:rPr>
              <w:t xml:space="preserve">The focus and priorities for the Transitional Support Fund (TSF) are as follows: </w:t>
            </w:r>
          </w:p>
          <w:p w:rsidR="000068C3" w:rsidRPr="00841B15" w:rsidRDefault="000068C3" w:rsidP="000068C3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  <w:sz w:val="22"/>
                <w:szCs w:val="22"/>
              </w:rPr>
            </w:pPr>
            <w:r w:rsidRPr="00841B15">
              <w:rPr>
                <w:color w:val="auto"/>
                <w:sz w:val="22"/>
                <w:szCs w:val="22"/>
              </w:rPr>
              <w:t xml:space="preserve">provide additional support to organisations previously funded by the IGF and that unsuccessfully applied to the GCF; and </w:t>
            </w:r>
          </w:p>
          <w:p w:rsidR="000068C3" w:rsidRPr="00841B15" w:rsidRDefault="000068C3" w:rsidP="000068C3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  <w:sz w:val="22"/>
                <w:szCs w:val="22"/>
              </w:rPr>
            </w:pPr>
            <w:r w:rsidRPr="00841B15">
              <w:rPr>
                <w:color w:val="auto"/>
                <w:sz w:val="22"/>
                <w:szCs w:val="22"/>
              </w:rPr>
              <w:t>provide this to named sectors, supporting many of those most severely impacted by the pandemic and the resulting lockdown. These are:</w:t>
            </w:r>
          </w:p>
          <w:p w:rsidR="000068C3" w:rsidRPr="00841B15" w:rsidRDefault="000068C3" w:rsidP="000068C3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841B15">
              <w:rPr>
                <w:color w:val="auto"/>
                <w:sz w:val="22"/>
                <w:szCs w:val="22"/>
              </w:rPr>
              <w:t xml:space="preserve">the advice sector </w:t>
            </w:r>
          </w:p>
          <w:p w:rsidR="000068C3" w:rsidRPr="00841B15" w:rsidRDefault="000068C3" w:rsidP="000068C3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841B15">
              <w:rPr>
                <w:color w:val="auto"/>
                <w:sz w:val="22"/>
                <w:szCs w:val="22"/>
              </w:rPr>
              <w:t xml:space="preserve">violence against women organisations </w:t>
            </w:r>
            <w:r w:rsidR="00DA5C7C" w:rsidRPr="00841B15">
              <w:rPr>
                <w:color w:val="auto"/>
                <w:sz w:val="22"/>
                <w:szCs w:val="22"/>
              </w:rPr>
              <w:t>(VAW)</w:t>
            </w:r>
          </w:p>
          <w:p w:rsidR="000068C3" w:rsidRPr="00841B15" w:rsidRDefault="000068C3" w:rsidP="000068C3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  <w:sz w:val="22"/>
                <w:szCs w:val="22"/>
              </w:rPr>
            </w:pPr>
            <w:r w:rsidRPr="00841B15">
              <w:rPr>
                <w:color w:val="auto"/>
                <w:sz w:val="22"/>
                <w:szCs w:val="22"/>
              </w:rPr>
              <w:t>communities of interest and equalities groups</w:t>
            </w:r>
          </w:p>
          <w:p w:rsidR="000068C3" w:rsidRPr="00841B15" w:rsidRDefault="000068C3" w:rsidP="000068C3">
            <w:pPr>
              <w:pStyle w:val="Default"/>
              <w:numPr>
                <w:ilvl w:val="0"/>
                <w:numId w:val="23"/>
              </w:numPr>
              <w:jc w:val="both"/>
              <w:rPr>
                <w:bCs/>
                <w:color w:val="auto"/>
                <w:sz w:val="22"/>
                <w:szCs w:val="22"/>
              </w:rPr>
            </w:pPr>
            <w:r w:rsidRPr="00841B15">
              <w:rPr>
                <w:bCs/>
                <w:color w:val="auto"/>
                <w:sz w:val="22"/>
                <w:szCs w:val="22"/>
              </w:rPr>
              <w:t>for the fund to match the length of the current GCF, subject to the Council’s budgeting process</w:t>
            </w:r>
          </w:p>
          <w:p w:rsidR="000068C3" w:rsidRPr="00841B15" w:rsidRDefault="000068C3" w:rsidP="00841B1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cs="Arial"/>
                <w:sz w:val="22"/>
                <w:szCs w:val="22"/>
              </w:rPr>
            </w:pPr>
            <w:r w:rsidRPr="00841B15">
              <w:rPr>
                <w:rFonts w:cs="Arial"/>
                <w:sz w:val="22"/>
                <w:szCs w:val="22"/>
              </w:rPr>
              <w:t>provide some additional funding for arts organisations</w:t>
            </w:r>
          </w:p>
        </w:tc>
      </w:tr>
    </w:tbl>
    <w:p w:rsidR="00163A6F" w:rsidRDefault="00163A6F" w:rsidP="00CE1909">
      <w:pPr>
        <w:tabs>
          <w:tab w:val="left" w:pos="6062"/>
          <w:tab w:val="left" w:pos="11164"/>
          <w:tab w:val="left" w:pos="15276"/>
        </w:tabs>
        <w:rPr>
          <w:sz w:val="22"/>
        </w:rPr>
      </w:pPr>
    </w:p>
    <w:p w:rsidR="00CE1909" w:rsidRDefault="00CE1909" w:rsidP="005272A9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 xml:space="preserve">Name of officer completing assessment  </w:t>
      </w:r>
      <w:r w:rsidR="00530518">
        <w:rPr>
          <w:sz w:val="22"/>
        </w:rPr>
        <w:t>(signed and date)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530518" w:rsidRPr="00C87613" w:rsidTr="00C87613">
        <w:tc>
          <w:tcPr>
            <w:tcW w:w="14295" w:type="dxa"/>
            <w:shd w:val="clear" w:color="auto" w:fill="auto"/>
          </w:tcPr>
          <w:p w:rsidR="00241FE7" w:rsidRDefault="00241FE7" w:rsidP="00241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Judith Hunter, Principal Officer (Equalities) and Ed G</w:t>
            </w:r>
            <w:r w:rsidR="00171C8D">
              <w:rPr>
                <w:sz w:val="23"/>
                <w:szCs w:val="23"/>
              </w:rPr>
              <w:t>ilmartin, Monitoring Officer; 15</w:t>
            </w:r>
            <w:r>
              <w:rPr>
                <w:sz w:val="23"/>
                <w:szCs w:val="23"/>
              </w:rPr>
              <w:t>.9.20</w:t>
            </w:r>
          </w:p>
          <w:p w:rsidR="00530518" w:rsidRPr="00C87613" w:rsidRDefault="00530518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</w:p>
        </w:tc>
      </w:tr>
    </w:tbl>
    <w:p w:rsidR="00CE1909" w:rsidRDefault="00CE1909" w:rsidP="00A403D7">
      <w:pPr>
        <w:tabs>
          <w:tab w:val="left" w:pos="6062"/>
          <w:tab w:val="left" w:pos="11164"/>
          <w:tab w:val="left" w:pos="15276"/>
        </w:tabs>
        <w:rPr>
          <w:sz w:val="22"/>
        </w:rPr>
      </w:pPr>
    </w:p>
    <w:p w:rsidR="00CE1909" w:rsidRDefault="00CE1909" w:rsidP="005272A9">
      <w:pPr>
        <w:numPr>
          <w:ilvl w:val="0"/>
          <w:numId w:val="4"/>
        </w:numPr>
        <w:tabs>
          <w:tab w:val="left" w:pos="6062"/>
          <w:tab w:val="left" w:pos="11164"/>
          <w:tab w:val="left" w:pos="15276"/>
        </w:tabs>
        <w:rPr>
          <w:sz w:val="22"/>
        </w:rPr>
      </w:pPr>
      <w:r>
        <w:rPr>
          <w:sz w:val="22"/>
        </w:rPr>
        <w:t xml:space="preserve">Assessment Verified by </w:t>
      </w:r>
      <w:r w:rsidR="00530518">
        <w:rPr>
          <w:sz w:val="22"/>
        </w:rPr>
        <w:t>(signed and date)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9"/>
      </w:tblGrid>
      <w:tr w:rsidR="00530518" w:rsidRPr="00C87613" w:rsidTr="00C87613">
        <w:tc>
          <w:tcPr>
            <w:tcW w:w="14295" w:type="dxa"/>
            <w:shd w:val="clear" w:color="auto" w:fill="auto"/>
          </w:tcPr>
          <w:p w:rsidR="00530518" w:rsidRPr="00241FE7" w:rsidRDefault="00241FE7" w:rsidP="00241FE7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  <w:r>
              <w:rPr>
                <w:sz w:val="22"/>
              </w:rPr>
              <w:t>Ri</w:t>
            </w:r>
            <w:r>
              <w:rPr>
                <w:sz w:val="23"/>
                <w:szCs w:val="23"/>
              </w:rPr>
              <w:t xml:space="preserve">chard Kelly, </w:t>
            </w:r>
            <w:r w:rsidR="00171C8D">
              <w:rPr>
                <w:sz w:val="23"/>
                <w:szCs w:val="23"/>
              </w:rPr>
              <w:t>Grants &amp; Initiatives Manager, 15</w:t>
            </w:r>
            <w:r>
              <w:rPr>
                <w:sz w:val="23"/>
                <w:szCs w:val="23"/>
              </w:rPr>
              <w:t>.9.20</w:t>
            </w:r>
          </w:p>
          <w:p w:rsidR="00530518" w:rsidRPr="00C87613" w:rsidRDefault="00530518" w:rsidP="00C87613">
            <w:pPr>
              <w:tabs>
                <w:tab w:val="left" w:pos="6062"/>
                <w:tab w:val="left" w:pos="11164"/>
                <w:tab w:val="left" w:pos="15276"/>
              </w:tabs>
              <w:rPr>
                <w:sz w:val="22"/>
              </w:rPr>
            </w:pPr>
          </w:p>
        </w:tc>
      </w:tr>
    </w:tbl>
    <w:p w:rsidR="00CE1909" w:rsidRDefault="00CE1909" w:rsidP="00CE1909">
      <w:pPr>
        <w:tabs>
          <w:tab w:val="left" w:pos="6062"/>
          <w:tab w:val="left" w:pos="11164"/>
          <w:tab w:val="left" w:pos="15276"/>
        </w:tabs>
        <w:ind w:left="720"/>
        <w:rPr>
          <w:sz w:val="22"/>
        </w:rPr>
      </w:pPr>
    </w:p>
    <w:p w:rsidR="00530518" w:rsidRDefault="00530518" w:rsidP="00CE1909">
      <w:pPr>
        <w:pStyle w:val="Heading1"/>
        <w:sectPr w:rsidR="00530518" w:rsidSect="002101EA">
          <w:pgSz w:w="16838" w:h="11906" w:orient="landscape" w:code="9"/>
          <w:pgMar w:top="851" w:right="1440" w:bottom="1135" w:left="851" w:header="720" w:footer="720" w:gutter="0"/>
          <w:cols w:space="720"/>
        </w:sectPr>
      </w:pPr>
    </w:p>
    <w:p w:rsidR="00A403D7" w:rsidRPr="00841B15" w:rsidRDefault="00A403D7" w:rsidP="00A403D7">
      <w:pPr>
        <w:pStyle w:val="Heading1"/>
        <w:ind w:left="360"/>
        <w:rPr>
          <w:sz w:val="14"/>
          <w:szCs w:val="14"/>
        </w:rPr>
      </w:pPr>
    </w:p>
    <w:p w:rsidR="00CE1909" w:rsidRPr="00B04CFA" w:rsidRDefault="00697CBC" w:rsidP="005272A9">
      <w:pPr>
        <w:pStyle w:val="Heading1"/>
        <w:numPr>
          <w:ilvl w:val="0"/>
          <w:numId w:val="8"/>
        </w:numPr>
        <w:rPr>
          <w:sz w:val="36"/>
          <w:szCs w:val="36"/>
        </w:rPr>
      </w:pPr>
      <w:r w:rsidRPr="00B04CFA">
        <w:rPr>
          <w:sz w:val="36"/>
          <w:szCs w:val="36"/>
        </w:rPr>
        <w:t xml:space="preserve">GATHERING </w:t>
      </w:r>
      <w:r w:rsidR="00716EFA" w:rsidRPr="00B04CFA">
        <w:rPr>
          <w:sz w:val="36"/>
          <w:szCs w:val="36"/>
        </w:rPr>
        <w:t xml:space="preserve">EVIDENCE &amp; </w:t>
      </w:r>
      <w:r w:rsidRPr="00B04CFA">
        <w:rPr>
          <w:sz w:val="36"/>
          <w:szCs w:val="36"/>
        </w:rPr>
        <w:t xml:space="preserve">STAKEHOLDER </w:t>
      </w:r>
      <w:r w:rsidR="00CE1909" w:rsidRPr="00B04CFA">
        <w:rPr>
          <w:sz w:val="36"/>
          <w:szCs w:val="36"/>
        </w:rPr>
        <w:t>ENGAGEMENT</w:t>
      </w:r>
    </w:p>
    <w:p w:rsidR="00A403D7" w:rsidRDefault="00A403D7" w:rsidP="00CE1909">
      <w:pPr>
        <w:rPr>
          <w:sz w:val="22"/>
        </w:rPr>
      </w:pPr>
    </w:p>
    <w:p w:rsidR="00CE1909" w:rsidRDefault="00CE1909" w:rsidP="00781F6A">
      <w:pPr>
        <w:ind w:left="360"/>
        <w:rPr>
          <w:sz w:val="22"/>
        </w:rPr>
      </w:pPr>
      <w:r>
        <w:rPr>
          <w:sz w:val="22"/>
        </w:rPr>
        <w:t xml:space="preserve">The best approach to find out if a policy, etc is likely to impact positively </w:t>
      </w:r>
      <w:r w:rsidR="00D70CD6">
        <w:rPr>
          <w:sz w:val="22"/>
        </w:rPr>
        <w:t xml:space="preserve">or negatively </w:t>
      </w:r>
      <w:r>
        <w:rPr>
          <w:sz w:val="22"/>
        </w:rPr>
        <w:t xml:space="preserve">on equality groups is to look at existing research, previous consultation recommendations, studies or consult with representatives of those groups.  </w:t>
      </w:r>
      <w:r w:rsidR="00D70CD6">
        <w:rPr>
          <w:sz w:val="22"/>
        </w:rPr>
        <w:t xml:space="preserve">You should list below any data, consultations (previous relevant or future planned), or any relevant research or analysis that supports the </w:t>
      </w:r>
      <w:r w:rsidR="00D70CD6" w:rsidRPr="00D70CD6">
        <w:rPr>
          <w:bCs/>
          <w:sz w:val="22"/>
          <w:szCs w:val="28"/>
        </w:rPr>
        <w:t>Policy, Project, Service Reform or Budget Option</w:t>
      </w:r>
      <w:r w:rsidR="00D70CD6">
        <w:rPr>
          <w:bCs/>
          <w:sz w:val="22"/>
          <w:szCs w:val="28"/>
        </w:rPr>
        <w:t xml:space="preserve"> being undertaken. </w:t>
      </w:r>
    </w:p>
    <w:p w:rsidR="00CE1909" w:rsidRDefault="00CE1909" w:rsidP="00CE1909">
      <w:pPr>
        <w:rPr>
          <w:sz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1"/>
        <w:gridCol w:w="3486"/>
        <w:gridCol w:w="4394"/>
      </w:tblGrid>
      <w:tr w:rsidR="00CE1909" w:rsidTr="005970A8">
        <w:tblPrEx>
          <w:tblCellMar>
            <w:top w:w="0" w:type="dxa"/>
            <w:bottom w:w="0" w:type="dxa"/>
          </w:tblCellMar>
        </w:tblPrEx>
        <w:tc>
          <w:tcPr>
            <w:tcW w:w="6261" w:type="dxa"/>
            <w:shd w:val="clear" w:color="auto" w:fill="C0C0C0"/>
          </w:tcPr>
          <w:p w:rsidR="006D3284" w:rsidRDefault="006D3284" w:rsidP="0021793B">
            <w:pPr>
              <w:rPr>
                <w:b/>
                <w:sz w:val="22"/>
              </w:rPr>
            </w:pPr>
          </w:p>
          <w:p w:rsidR="00CE1909" w:rsidRPr="006D3284" w:rsidRDefault="00CE1909" w:rsidP="0021793B">
            <w:pPr>
              <w:rPr>
                <w:sz w:val="22"/>
              </w:rPr>
            </w:pPr>
            <w:r w:rsidRPr="006D3284">
              <w:rPr>
                <w:sz w:val="22"/>
              </w:rPr>
              <w:t>Please name any research, data, consultation or studies referred to for this assessment:</w:t>
            </w:r>
          </w:p>
        </w:tc>
        <w:tc>
          <w:tcPr>
            <w:tcW w:w="3486" w:type="dxa"/>
            <w:shd w:val="clear" w:color="auto" w:fill="C0C0C0"/>
          </w:tcPr>
          <w:p w:rsidR="006D3284" w:rsidRDefault="006D3284" w:rsidP="00874EAF">
            <w:pPr>
              <w:rPr>
                <w:sz w:val="22"/>
              </w:rPr>
            </w:pPr>
          </w:p>
          <w:p w:rsidR="00874EAF" w:rsidRDefault="00CE1909" w:rsidP="00874EAF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t>Please state if this reference refers t</w:t>
            </w:r>
            <w:r w:rsidR="00874EAF">
              <w:rPr>
                <w:sz w:val="22"/>
              </w:rPr>
              <w:t>o one or more of the protected characteristics</w:t>
            </w:r>
            <w:r w:rsidR="00874EAF">
              <w:rPr>
                <w:rFonts w:cs="Arial"/>
                <w:szCs w:val="24"/>
              </w:rPr>
              <w:t>:</w:t>
            </w:r>
          </w:p>
          <w:p w:rsidR="00874EAF" w:rsidRDefault="00874EAF" w:rsidP="00874EAF">
            <w:pPr>
              <w:rPr>
                <w:rFonts w:cs="Arial"/>
                <w:szCs w:val="24"/>
              </w:rPr>
            </w:pPr>
          </w:p>
          <w:p w:rsidR="00BC1931" w:rsidRDefault="00BC1931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disability,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>race</w:t>
            </w:r>
            <w:r>
              <w:rPr>
                <w:rFonts w:cs="Arial"/>
                <w:sz w:val="22"/>
                <w:szCs w:val="22"/>
              </w:rPr>
              <w:t xml:space="preserve"> and/or ethnicity</w:t>
            </w:r>
            <w:r w:rsidRPr="00874EAF">
              <w:rPr>
                <w:rFonts w:cs="Arial"/>
                <w:sz w:val="22"/>
                <w:szCs w:val="22"/>
              </w:rPr>
              <w:t xml:space="preserve">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religion or belief (including lack of belief), </w:t>
            </w:r>
          </w:p>
          <w:p w:rsid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gender</w:t>
            </w:r>
            <w:r w:rsidRPr="00874EAF">
              <w:rPr>
                <w:rFonts w:cs="Arial"/>
                <w:sz w:val="22"/>
                <w:szCs w:val="22"/>
              </w:rPr>
              <w:t xml:space="preserve">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gender reassignment, </w:t>
            </w:r>
          </w:p>
          <w:p w:rsidR="00CE1909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>sexual orientation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marriage and civil partnership, </w:t>
            </w:r>
          </w:p>
          <w:p w:rsidR="00874EAF" w:rsidRPr="00874EAF" w:rsidRDefault="00874EAF" w:rsidP="00874EA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874EAF">
              <w:rPr>
                <w:rFonts w:cs="Arial"/>
                <w:sz w:val="22"/>
                <w:szCs w:val="22"/>
              </w:rPr>
              <w:t xml:space="preserve">pregnancy and maternity, </w:t>
            </w:r>
          </w:p>
          <w:p w:rsidR="00874EAF" w:rsidRPr="00874EAF" w:rsidRDefault="00874EAF" w:rsidP="00874EAF">
            <w:pPr>
              <w:ind w:left="720"/>
              <w:rPr>
                <w:rFonts w:cs="Arial"/>
                <w:szCs w:val="24"/>
              </w:rPr>
            </w:pPr>
          </w:p>
        </w:tc>
        <w:tc>
          <w:tcPr>
            <w:tcW w:w="4394" w:type="dxa"/>
            <w:shd w:val="clear" w:color="auto" w:fill="C0C0C0"/>
          </w:tcPr>
          <w:p w:rsidR="006D3284" w:rsidRDefault="006D3284" w:rsidP="00D70CD6">
            <w:pPr>
              <w:rPr>
                <w:sz w:val="22"/>
              </w:rPr>
            </w:pPr>
          </w:p>
          <w:p w:rsidR="00CE1909" w:rsidRDefault="00CE1909" w:rsidP="00D70CD6">
            <w:pPr>
              <w:rPr>
                <w:sz w:val="22"/>
              </w:rPr>
            </w:pPr>
            <w:r>
              <w:rPr>
                <w:sz w:val="22"/>
              </w:rPr>
              <w:t xml:space="preserve">Do you intend to set up your own consultation?  If so, please list the main issues that </w:t>
            </w:r>
            <w:r w:rsidR="00D70CD6">
              <w:rPr>
                <w:sz w:val="22"/>
              </w:rPr>
              <w:t>you wish to address if the consultation is planned; or if consultation has been completed, please note the out</w:t>
            </w:r>
            <w:r>
              <w:rPr>
                <w:sz w:val="22"/>
              </w:rPr>
              <w:t>come</w:t>
            </w:r>
            <w:r w:rsidR="00D70CD6">
              <w:rPr>
                <w:sz w:val="22"/>
              </w:rPr>
              <w:t>(s)</w:t>
            </w:r>
            <w:r>
              <w:rPr>
                <w:sz w:val="22"/>
              </w:rPr>
              <w:t xml:space="preserve"> </w:t>
            </w:r>
            <w:r w:rsidR="00D70CD6">
              <w:rPr>
                <w:sz w:val="22"/>
              </w:rPr>
              <w:t>of</w:t>
            </w:r>
            <w:r>
              <w:rPr>
                <w:sz w:val="22"/>
              </w:rPr>
              <w:t xml:space="preserve"> consultation.</w:t>
            </w:r>
          </w:p>
          <w:p w:rsidR="00D70CD6" w:rsidRDefault="00D70CD6" w:rsidP="00D70CD6">
            <w:pPr>
              <w:rPr>
                <w:sz w:val="22"/>
              </w:rPr>
            </w:pPr>
          </w:p>
        </w:tc>
      </w:tr>
      <w:tr w:rsidR="00CE1909" w:rsidTr="005970A8">
        <w:tblPrEx>
          <w:tblCellMar>
            <w:top w:w="0" w:type="dxa"/>
            <w:bottom w:w="0" w:type="dxa"/>
          </w:tblCellMar>
        </w:tblPrEx>
        <w:tc>
          <w:tcPr>
            <w:tcW w:w="6261" w:type="dxa"/>
          </w:tcPr>
          <w:p w:rsidR="005970A8" w:rsidRPr="00841B15" w:rsidRDefault="005970A8" w:rsidP="005970A8">
            <w:pPr>
              <w:jc w:val="both"/>
              <w:rPr>
                <w:rFonts w:cs="Arial"/>
                <w:bCs/>
                <w:szCs w:val="24"/>
              </w:rPr>
            </w:pPr>
            <w:r w:rsidRPr="00841B15">
              <w:rPr>
                <w:rFonts w:cs="Arial"/>
                <w:bCs/>
                <w:szCs w:val="24"/>
              </w:rPr>
              <w:t>In view of the timescales, the allocation of the TSF was based on the approach used for assessing applications to the GCF as follows:</w:t>
            </w:r>
          </w:p>
          <w:p w:rsidR="005970A8" w:rsidRPr="00841B15" w:rsidRDefault="005970A8" w:rsidP="005970A8">
            <w:pPr>
              <w:pStyle w:val="Default"/>
              <w:numPr>
                <w:ilvl w:val="0"/>
                <w:numId w:val="25"/>
              </w:numPr>
              <w:jc w:val="both"/>
              <w:rPr>
                <w:i/>
                <w:iCs/>
                <w:color w:val="auto"/>
              </w:rPr>
            </w:pPr>
            <w:r w:rsidRPr="00841B15">
              <w:rPr>
                <w:color w:val="auto"/>
              </w:rPr>
              <w:t>Revisit the unsuccessful organisations previously funded by the IGF and identify those that fall under the areas of focus above, ranking them by their assessed score under the GCF assessment;</w:t>
            </w:r>
          </w:p>
          <w:p w:rsidR="005970A8" w:rsidRPr="00841B15" w:rsidRDefault="005970A8" w:rsidP="005970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szCs w:val="24"/>
              </w:rPr>
            </w:pPr>
            <w:r w:rsidRPr="00841B15">
              <w:rPr>
                <w:rFonts w:cs="Arial"/>
                <w:szCs w:val="24"/>
              </w:rPr>
              <w:lastRenderedPageBreak/>
              <w:t>Prioritise those organisations in relation to “supporting many of those most severely impacted by the pandemic and the resulting lockdown”;</w:t>
            </w:r>
          </w:p>
          <w:p w:rsidR="005970A8" w:rsidRPr="00841B15" w:rsidRDefault="005970A8" w:rsidP="005970A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szCs w:val="24"/>
              </w:rPr>
            </w:pPr>
            <w:r w:rsidRPr="00841B15">
              <w:rPr>
                <w:rFonts w:cs="Arial"/>
                <w:szCs w:val="24"/>
              </w:rPr>
              <w:t>Calculate the amounts that would be recommended to organisations on the same basis as the recommended GCF applications (thereby following the approach to fund as many organisations as possible);</w:t>
            </w:r>
          </w:p>
          <w:p w:rsidR="00DA5C7C" w:rsidRPr="00841B15" w:rsidRDefault="00DA5C7C" w:rsidP="00DA5C7C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</w:p>
          <w:p w:rsidR="00AE7B14" w:rsidRPr="00841B15" w:rsidRDefault="00746581" w:rsidP="0021793B">
            <w:pPr>
              <w:rPr>
                <w:rFonts w:cs="Arial"/>
                <w:color w:val="2E74B5"/>
                <w:szCs w:val="24"/>
              </w:rPr>
            </w:pPr>
            <w:r w:rsidRPr="00841B15">
              <w:rPr>
                <w:rFonts w:cs="Arial"/>
                <w:szCs w:val="24"/>
              </w:rPr>
              <w:t xml:space="preserve">More information on the assessment criteria for the GCF can be found </w:t>
            </w:r>
            <w:r w:rsidR="00171C8D" w:rsidRPr="00841B15">
              <w:rPr>
                <w:rFonts w:cs="Arial"/>
                <w:szCs w:val="24"/>
              </w:rPr>
              <w:t xml:space="preserve">in the report to CAC on 3 September 2020 – Item 3 </w:t>
            </w:r>
            <w:hyperlink r:id="rId15" w:history="1">
              <w:r w:rsidR="00171C8D" w:rsidRPr="00841B15">
                <w:rPr>
                  <w:rStyle w:val="Hyperlink"/>
                  <w:rFonts w:cs="Arial"/>
                  <w:szCs w:val="24"/>
                </w:rPr>
                <w:t>he</w:t>
              </w:r>
              <w:r w:rsidR="00171C8D" w:rsidRPr="00841B15">
                <w:rPr>
                  <w:rStyle w:val="Hyperlink"/>
                  <w:rFonts w:cs="Arial"/>
                  <w:szCs w:val="24"/>
                </w:rPr>
                <w:t>r</w:t>
              </w:r>
              <w:r w:rsidR="00171C8D" w:rsidRPr="00841B15">
                <w:rPr>
                  <w:rStyle w:val="Hyperlink"/>
                  <w:rFonts w:cs="Arial"/>
                  <w:szCs w:val="24"/>
                </w:rPr>
                <w:t>e</w:t>
              </w:r>
            </w:hyperlink>
          </w:p>
        </w:tc>
        <w:tc>
          <w:tcPr>
            <w:tcW w:w="3486" w:type="dxa"/>
          </w:tcPr>
          <w:p w:rsidR="005970A8" w:rsidRPr="00841B15" w:rsidRDefault="005970A8" w:rsidP="0021793B">
            <w:pPr>
              <w:rPr>
                <w:rFonts w:cs="Arial"/>
                <w:szCs w:val="24"/>
              </w:rPr>
            </w:pPr>
            <w:r w:rsidRPr="00841B15">
              <w:rPr>
                <w:rFonts w:cs="Arial"/>
                <w:szCs w:val="24"/>
              </w:rPr>
              <w:lastRenderedPageBreak/>
              <w:t xml:space="preserve">This would provide support in relation to all protected characteristics, as </w:t>
            </w:r>
            <w:r w:rsidR="00171C8D" w:rsidRPr="00841B15">
              <w:rPr>
                <w:rFonts w:cs="Arial"/>
                <w:szCs w:val="24"/>
              </w:rPr>
              <w:t xml:space="preserve">GCF was open to all third sector orgs and </w:t>
            </w:r>
            <w:r w:rsidRPr="00841B15">
              <w:rPr>
                <w:rFonts w:cs="Arial"/>
                <w:szCs w:val="24"/>
              </w:rPr>
              <w:t>they are covered by the intent to fund equalities groups.</w:t>
            </w:r>
          </w:p>
          <w:p w:rsidR="005970A8" w:rsidRPr="00841B15" w:rsidRDefault="005970A8" w:rsidP="0021793B">
            <w:pPr>
              <w:rPr>
                <w:rFonts w:cs="Arial"/>
                <w:szCs w:val="24"/>
              </w:rPr>
            </w:pPr>
          </w:p>
          <w:p w:rsidR="005970A8" w:rsidRPr="00841B15" w:rsidRDefault="005970A8" w:rsidP="0021793B">
            <w:pPr>
              <w:rPr>
                <w:rFonts w:cs="Arial"/>
                <w:szCs w:val="24"/>
              </w:rPr>
            </w:pPr>
            <w:r w:rsidRPr="00841B15">
              <w:rPr>
                <w:rFonts w:cs="Arial"/>
                <w:szCs w:val="24"/>
              </w:rPr>
              <w:t xml:space="preserve">People with protected characteristics are likely to be experiencing negative effects </w:t>
            </w:r>
            <w:r w:rsidRPr="00841B15">
              <w:rPr>
                <w:rFonts w:cs="Arial"/>
                <w:szCs w:val="24"/>
              </w:rPr>
              <w:lastRenderedPageBreak/>
              <w:t xml:space="preserve">from the pandemic and lockdown and more vulnerable as a result. </w:t>
            </w:r>
          </w:p>
          <w:p w:rsidR="005970A8" w:rsidRPr="00841B15" w:rsidRDefault="005970A8" w:rsidP="0021793B">
            <w:pPr>
              <w:rPr>
                <w:rFonts w:cs="Arial"/>
                <w:szCs w:val="24"/>
              </w:rPr>
            </w:pPr>
            <w:r w:rsidRPr="00841B15">
              <w:rPr>
                <w:rFonts w:cs="Arial"/>
                <w:szCs w:val="24"/>
              </w:rPr>
              <w:t xml:space="preserve">Women are mentioned specifically in terms of supporting projects that provide Violence Against Women services.  </w:t>
            </w:r>
          </w:p>
        </w:tc>
        <w:tc>
          <w:tcPr>
            <w:tcW w:w="4394" w:type="dxa"/>
          </w:tcPr>
          <w:p w:rsidR="005970A8" w:rsidRPr="00841B15" w:rsidRDefault="00746581" w:rsidP="00746581">
            <w:pPr>
              <w:rPr>
                <w:rFonts w:cs="Arial"/>
                <w:szCs w:val="24"/>
              </w:rPr>
            </w:pPr>
            <w:r w:rsidRPr="00841B15">
              <w:rPr>
                <w:rFonts w:cs="Arial"/>
                <w:szCs w:val="24"/>
              </w:rPr>
              <w:lastRenderedPageBreak/>
              <w:t>N</w:t>
            </w:r>
            <w:r w:rsidR="005970A8" w:rsidRPr="00841B15">
              <w:rPr>
                <w:rFonts w:cs="Arial"/>
                <w:szCs w:val="24"/>
              </w:rPr>
              <w:t>o, consultation was carried</w:t>
            </w:r>
            <w:r w:rsidRPr="00841B15">
              <w:rPr>
                <w:rFonts w:cs="Arial"/>
                <w:szCs w:val="24"/>
              </w:rPr>
              <w:t xml:space="preserve"> out before the development of the Glasgow Communities Fund and is </w:t>
            </w:r>
            <w:r w:rsidR="00841B15">
              <w:rPr>
                <w:rFonts w:cs="Arial"/>
                <w:szCs w:val="24"/>
              </w:rPr>
              <w:t>outlined in the original EQIA.</w:t>
            </w:r>
          </w:p>
        </w:tc>
      </w:tr>
    </w:tbl>
    <w:p w:rsidR="00CE1909" w:rsidRDefault="00CE1909" w:rsidP="00CE1909">
      <w:pPr>
        <w:rPr>
          <w:sz w:val="22"/>
        </w:rPr>
      </w:pPr>
    </w:p>
    <w:p w:rsidR="00530518" w:rsidRDefault="00530518" w:rsidP="00CE1909">
      <w:pPr>
        <w:pStyle w:val="Heading1"/>
        <w:sectPr w:rsidR="00530518" w:rsidSect="002101EA">
          <w:pgSz w:w="16838" w:h="11906" w:orient="landscape" w:code="9"/>
          <w:pgMar w:top="851" w:right="998" w:bottom="1135" w:left="851" w:header="720" w:footer="720" w:gutter="0"/>
          <w:cols w:space="720"/>
        </w:sectPr>
      </w:pPr>
    </w:p>
    <w:p w:rsidR="00781F6A" w:rsidRPr="00B04CFA" w:rsidRDefault="006B4042" w:rsidP="005272A9">
      <w:pPr>
        <w:pStyle w:val="Heading1"/>
        <w:numPr>
          <w:ilvl w:val="0"/>
          <w:numId w:val="8"/>
        </w:numPr>
        <w:rPr>
          <w:sz w:val="36"/>
          <w:szCs w:val="36"/>
        </w:rPr>
      </w:pPr>
      <w:r w:rsidRPr="00B04CFA">
        <w:rPr>
          <w:sz w:val="36"/>
          <w:szCs w:val="36"/>
        </w:rPr>
        <w:lastRenderedPageBreak/>
        <w:t>A</w:t>
      </w:r>
      <w:r w:rsidR="00EB23B8" w:rsidRPr="00B04CFA">
        <w:rPr>
          <w:sz w:val="36"/>
          <w:szCs w:val="36"/>
        </w:rPr>
        <w:t>SSESS</w:t>
      </w:r>
      <w:r w:rsidRPr="00B04CFA">
        <w:rPr>
          <w:sz w:val="36"/>
          <w:szCs w:val="36"/>
        </w:rPr>
        <w:t xml:space="preserve">MENT &amp; </w:t>
      </w:r>
      <w:r w:rsidR="00CE1909" w:rsidRPr="00B04CFA">
        <w:rPr>
          <w:sz w:val="36"/>
          <w:szCs w:val="36"/>
        </w:rPr>
        <w:t>DIFFERENTIAL IMPACT</w:t>
      </w:r>
      <w:r w:rsidRPr="00B04CFA">
        <w:rPr>
          <w:sz w:val="36"/>
          <w:szCs w:val="36"/>
        </w:rPr>
        <w:t>S</w:t>
      </w:r>
    </w:p>
    <w:p w:rsidR="00797EAC" w:rsidRDefault="00797EAC" w:rsidP="00781F6A">
      <w:pPr>
        <w:ind w:left="360"/>
        <w:rPr>
          <w:sz w:val="22"/>
          <w:szCs w:val="22"/>
        </w:rPr>
      </w:pPr>
    </w:p>
    <w:p w:rsidR="00A67987" w:rsidRPr="00781F6A" w:rsidRDefault="00077E39" w:rsidP="00AE683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Use the table below </w:t>
      </w:r>
      <w:r w:rsidR="006143BD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provide some </w:t>
      </w:r>
      <w:r w:rsidRPr="00077E39">
        <w:rPr>
          <w:b/>
          <w:sz w:val="22"/>
          <w:szCs w:val="22"/>
        </w:rPr>
        <w:t>narrative</w:t>
      </w:r>
      <w:r w:rsidR="00CE1909" w:rsidRPr="00781F6A">
        <w:rPr>
          <w:sz w:val="22"/>
          <w:szCs w:val="22"/>
        </w:rPr>
        <w:t xml:space="preserve"> where you think the </w:t>
      </w:r>
      <w:r w:rsidR="00A67987">
        <w:rPr>
          <w:b/>
          <w:bCs/>
          <w:sz w:val="22"/>
          <w:szCs w:val="28"/>
        </w:rPr>
        <w:t xml:space="preserve">Policy, Project, Service Reform or Budget Option </w:t>
      </w:r>
      <w:r w:rsidR="00CE1909" w:rsidRPr="00781F6A">
        <w:rPr>
          <w:sz w:val="22"/>
          <w:szCs w:val="22"/>
        </w:rPr>
        <w:t xml:space="preserve">has either </w:t>
      </w:r>
      <w:r>
        <w:rPr>
          <w:sz w:val="22"/>
          <w:szCs w:val="22"/>
        </w:rPr>
        <w:t xml:space="preserve">a </w:t>
      </w:r>
      <w:r w:rsidRPr="00781F6A">
        <w:rPr>
          <w:sz w:val="22"/>
          <w:szCs w:val="22"/>
        </w:rPr>
        <w:t>positive impact (contributes to promoting equality or improving relations within an equality group)</w:t>
      </w:r>
      <w:r>
        <w:rPr>
          <w:sz w:val="22"/>
          <w:szCs w:val="22"/>
        </w:rPr>
        <w:t xml:space="preserve"> or </w:t>
      </w:r>
      <w:r w:rsidR="00CE1909" w:rsidRPr="00781F6A">
        <w:rPr>
          <w:sz w:val="22"/>
          <w:szCs w:val="22"/>
        </w:rPr>
        <w:t xml:space="preserve">a negative impact (could disadvantage them) </w:t>
      </w:r>
      <w:r>
        <w:rPr>
          <w:sz w:val="22"/>
          <w:szCs w:val="22"/>
        </w:rPr>
        <w:t>and note the reason for the change in policy or the reason for policy development</w:t>
      </w:r>
      <w:r w:rsidR="00CE1909" w:rsidRPr="00781F6A">
        <w:rPr>
          <w:sz w:val="22"/>
          <w:szCs w:val="22"/>
        </w:rPr>
        <w:t>, based on the evidence you have collated</w:t>
      </w:r>
      <w:r>
        <w:rPr>
          <w:sz w:val="22"/>
          <w:szCs w:val="22"/>
        </w:rPr>
        <w:t>.</w:t>
      </w:r>
    </w:p>
    <w:tbl>
      <w:tblPr>
        <w:tblpPr w:leftFromText="180" w:rightFromText="180" w:vertAnchor="text" w:horzAnchor="margin" w:tblpX="468" w:tblpY="15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22"/>
        <w:gridCol w:w="3907"/>
        <w:gridCol w:w="2693"/>
        <w:gridCol w:w="3969"/>
      </w:tblGrid>
      <w:tr w:rsidR="00163A6F" w:rsidTr="001163B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88" w:type="dxa"/>
            <w:shd w:val="clear" w:color="auto" w:fill="C0C0C0"/>
          </w:tcPr>
          <w:p w:rsidR="00163A6F" w:rsidRPr="00874EAF" w:rsidRDefault="00163A6F" w:rsidP="00781F6A">
            <w:pPr>
              <w:jc w:val="both"/>
              <w:rPr>
                <w:b/>
                <w:sz w:val="22"/>
              </w:rPr>
            </w:pPr>
            <w:r w:rsidRPr="00874EAF">
              <w:rPr>
                <w:b/>
                <w:sz w:val="22"/>
              </w:rPr>
              <w:t>Protected Characteristic</w:t>
            </w:r>
          </w:p>
        </w:tc>
        <w:tc>
          <w:tcPr>
            <w:tcW w:w="2222" w:type="dxa"/>
            <w:shd w:val="clear" w:color="auto" w:fill="C0C0C0"/>
          </w:tcPr>
          <w:p w:rsidR="00163A6F" w:rsidRPr="0095563E" w:rsidRDefault="00163A6F" w:rsidP="00781F6A">
            <w:pPr>
              <w:rPr>
                <w:b/>
                <w:sz w:val="22"/>
              </w:rPr>
            </w:pPr>
            <w:r w:rsidRPr="0095563E">
              <w:rPr>
                <w:b/>
                <w:sz w:val="22"/>
              </w:rPr>
              <w:t>Specific Characteristics</w:t>
            </w:r>
          </w:p>
        </w:tc>
        <w:tc>
          <w:tcPr>
            <w:tcW w:w="3907" w:type="dxa"/>
            <w:shd w:val="clear" w:color="auto" w:fill="C0C0C0"/>
          </w:tcPr>
          <w:p w:rsidR="00711922" w:rsidRDefault="00711922" w:rsidP="00781F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Positive Impact </w:t>
            </w:r>
          </w:p>
          <w:p w:rsidR="00163A6F" w:rsidRPr="00823AE0" w:rsidRDefault="00711922" w:rsidP="00781F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163A6F" w:rsidRPr="00711922">
              <w:rPr>
                <w:b/>
                <w:sz w:val="16"/>
                <w:szCs w:val="16"/>
              </w:rPr>
              <w:t>it could benefit an equality group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C0C0C0"/>
          </w:tcPr>
          <w:p w:rsidR="00163A6F" w:rsidRDefault="00163A6F" w:rsidP="00781F6A">
            <w:pPr>
              <w:rPr>
                <w:b/>
                <w:sz w:val="22"/>
              </w:rPr>
            </w:pPr>
            <w:r w:rsidRPr="00823AE0">
              <w:rPr>
                <w:b/>
                <w:sz w:val="22"/>
              </w:rPr>
              <w:t xml:space="preserve">Negative Impact – </w:t>
            </w:r>
          </w:p>
          <w:p w:rsidR="00163A6F" w:rsidRPr="00711922" w:rsidRDefault="00711922" w:rsidP="00781F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163A6F" w:rsidRPr="00711922">
              <w:rPr>
                <w:b/>
                <w:sz w:val="16"/>
                <w:szCs w:val="16"/>
              </w:rPr>
              <w:t>it could disadvantage an equality group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0C0C0"/>
          </w:tcPr>
          <w:p w:rsidR="00A67C25" w:rsidRPr="00D864DE" w:rsidRDefault="00163A6F" w:rsidP="00781F6A">
            <w:pPr>
              <w:rPr>
                <w:b/>
                <w:sz w:val="22"/>
              </w:rPr>
            </w:pPr>
            <w:r w:rsidRPr="00D864DE">
              <w:rPr>
                <w:b/>
                <w:sz w:val="22"/>
              </w:rPr>
              <w:t xml:space="preserve">Socio Economic / </w:t>
            </w:r>
          </w:p>
          <w:p w:rsidR="00163A6F" w:rsidRPr="00D864DE" w:rsidRDefault="00163A6F" w:rsidP="00724573">
            <w:pPr>
              <w:rPr>
                <w:b/>
                <w:sz w:val="22"/>
              </w:rPr>
            </w:pPr>
            <w:r w:rsidRPr="00D864DE">
              <w:rPr>
                <w:b/>
                <w:sz w:val="22"/>
              </w:rPr>
              <w:t>Human Rights Impacts</w:t>
            </w: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88" w:type="dxa"/>
            <w:shd w:val="clear" w:color="auto" w:fill="CCFFFF"/>
            <w:vAlign w:val="center"/>
          </w:tcPr>
          <w:p w:rsidR="00163A6F" w:rsidRPr="00534BCA" w:rsidRDefault="00163A6F" w:rsidP="007017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SEX/ </w:t>
            </w:r>
            <w:r w:rsidRPr="00534BCA">
              <w:rPr>
                <w:b/>
                <w:sz w:val="22"/>
              </w:rPr>
              <w:t>GENDER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Women</w:t>
            </w:r>
          </w:p>
        </w:tc>
        <w:tc>
          <w:tcPr>
            <w:tcW w:w="3907" w:type="dxa"/>
          </w:tcPr>
          <w:p w:rsidR="00163A6F" w:rsidRDefault="00EE3A50" w:rsidP="00781F6A">
            <w:pPr>
              <w:rPr>
                <w:sz w:val="22"/>
              </w:rPr>
            </w:pPr>
            <w:r w:rsidRPr="00EE3A50">
              <w:rPr>
                <w:sz w:val="22"/>
              </w:rPr>
              <w:t>In providing support to women experiencing violence, this will ha</w:t>
            </w:r>
            <w:r w:rsidR="00C9528E">
              <w:rPr>
                <w:sz w:val="22"/>
              </w:rPr>
              <w:t xml:space="preserve">ve a </w:t>
            </w:r>
            <w:r w:rsidRPr="00EE3A50">
              <w:rPr>
                <w:sz w:val="22"/>
              </w:rPr>
              <w:t>positive impact</w:t>
            </w:r>
            <w:r w:rsidR="00C9528E">
              <w:rPr>
                <w:sz w:val="22"/>
              </w:rPr>
              <w:t xml:space="preserve">. </w:t>
            </w:r>
          </w:p>
          <w:p w:rsidR="00C9528E" w:rsidRPr="00EE3A50" w:rsidRDefault="00C9528E" w:rsidP="00781F6A">
            <w:pPr>
              <w:rPr>
                <w:sz w:val="22"/>
              </w:rPr>
            </w:pPr>
          </w:p>
          <w:p w:rsidR="0051416E" w:rsidRPr="001163BD" w:rsidRDefault="00EE3A50" w:rsidP="00781F6A">
            <w:pPr>
              <w:rPr>
                <w:b/>
                <w:sz w:val="22"/>
              </w:rPr>
            </w:pPr>
            <w:r w:rsidRPr="00EE3A50">
              <w:rPr>
                <w:sz w:val="22"/>
              </w:rPr>
              <w:t xml:space="preserve">There will also be support for women as users of </w:t>
            </w:r>
            <w:r w:rsidR="00C9528E">
              <w:rPr>
                <w:sz w:val="22"/>
              </w:rPr>
              <w:t xml:space="preserve">financial </w:t>
            </w:r>
            <w:r w:rsidRPr="00EE3A50">
              <w:rPr>
                <w:sz w:val="22"/>
              </w:rPr>
              <w:t>advice</w:t>
            </w:r>
            <w:r w:rsidR="00C9528E">
              <w:rPr>
                <w:sz w:val="22"/>
              </w:rPr>
              <w:t xml:space="preserve"> centres</w:t>
            </w:r>
            <w:r w:rsidRPr="00EE3A50">
              <w:rPr>
                <w:sz w:val="22"/>
              </w:rPr>
              <w:t>,</w:t>
            </w:r>
            <w:r w:rsidR="00C9528E">
              <w:rPr>
                <w:sz w:val="22"/>
              </w:rPr>
              <w:t xml:space="preserve"> local community centres (especially in areas of high deprivation)</w:t>
            </w:r>
            <w:r w:rsidRPr="00EE3A50">
              <w:rPr>
                <w:sz w:val="22"/>
              </w:rPr>
              <w:t xml:space="preserve"> disability and arts services</w:t>
            </w:r>
            <w:r w:rsidR="0051416E">
              <w:rPr>
                <w:sz w:val="22"/>
              </w:rPr>
              <w:t xml:space="preserve"> – </w:t>
            </w:r>
            <w:r w:rsidR="0051416E" w:rsidRPr="0051416E">
              <w:rPr>
                <w:b/>
                <w:sz w:val="22"/>
              </w:rPr>
              <w:t>NB</w:t>
            </w:r>
            <w:r w:rsidR="0051416E">
              <w:rPr>
                <w:sz w:val="22"/>
              </w:rPr>
              <w:t xml:space="preserve"> </w:t>
            </w:r>
            <w:r w:rsidR="0051416E" w:rsidRPr="0051416E">
              <w:rPr>
                <w:b/>
                <w:sz w:val="22"/>
              </w:rPr>
              <w:t>this applies to all the protected characteristics below</w:t>
            </w:r>
            <w:r w:rsidRPr="001163BD">
              <w:rPr>
                <w:sz w:val="22"/>
              </w:rPr>
              <w:t xml:space="preserve">. 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9C3E99" w:rsidRPr="001163BD" w:rsidRDefault="009C3E99" w:rsidP="009C3E99">
            <w:pPr>
              <w:rPr>
                <w:rFonts w:cs="Arial"/>
                <w:sz w:val="22"/>
              </w:rPr>
            </w:pPr>
            <w:r w:rsidRPr="001163BD">
              <w:rPr>
                <w:rFonts w:cs="Arial"/>
              </w:rPr>
              <w:t>Consideration of the most severely impacted sectors will necessary include consideration of funding outcomes that expl</w:t>
            </w:r>
            <w:r w:rsidR="00D864DE" w:rsidRPr="001163BD">
              <w:rPr>
                <w:rFonts w:cs="Arial"/>
              </w:rPr>
              <w:t>icitly and implicitly support</w:t>
            </w:r>
            <w:r w:rsidRPr="001163BD">
              <w:rPr>
                <w:rFonts w:cs="Arial"/>
              </w:rPr>
              <w:t xml:space="preserve"> the Fairer Scotland duty</w:t>
            </w: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88" w:type="dxa"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Men</w:t>
            </w:r>
          </w:p>
        </w:tc>
        <w:tc>
          <w:tcPr>
            <w:tcW w:w="3907" w:type="dxa"/>
          </w:tcPr>
          <w:p w:rsidR="00163A6F" w:rsidRPr="00EE3A50" w:rsidRDefault="0051416E" w:rsidP="00781F6A">
            <w:pPr>
              <w:rPr>
                <w:sz w:val="22"/>
              </w:rPr>
            </w:pPr>
            <w:r>
              <w:rPr>
                <w:sz w:val="22"/>
              </w:rPr>
              <w:t xml:space="preserve">See above </w:t>
            </w:r>
            <w:r w:rsidR="00C9528E">
              <w:rPr>
                <w:sz w:val="22"/>
              </w:rPr>
              <w:t xml:space="preserve">– in addition, men who are victims of sexual violence can access some VAW services. 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  <w:p w:rsidR="009C3E99" w:rsidRDefault="009C3E99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Transgender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63A6F" w:rsidRDefault="00C9528E" w:rsidP="00781F6A">
            <w:pPr>
              <w:rPr>
                <w:sz w:val="22"/>
              </w:rPr>
            </w:pPr>
            <w:r>
              <w:rPr>
                <w:sz w:val="22"/>
              </w:rPr>
              <w:t>In addition, transgender women can access VAW services.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874EAF" w:rsidTr="001163BD">
        <w:tblPrEx>
          <w:tblCellMar>
            <w:top w:w="0" w:type="dxa"/>
            <w:bottom w:w="0" w:type="dxa"/>
          </w:tblCellMar>
        </w:tblPrEx>
        <w:tc>
          <w:tcPr>
            <w:tcW w:w="14879" w:type="dxa"/>
            <w:gridSpan w:val="5"/>
            <w:shd w:val="clear" w:color="auto" w:fill="auto"/>
          </w:tcPr>
          <w:p w:rsidR="00874EAF" w:rsidRPr="00CD7794" w:rsidRDefault="00874EAF" w:rsidP="00781F6A">
            <w:pPr>
              <w:rPr>
                <w:sz w:val="18"/>
                <w:szCs w:val="18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088" w:type="dxa"/>
            <w:shd w:val="clear" w:color="auto" w:fill="CCFFFF"/>
            <w:vAlign w:val="center"/>
          </w:tcPr>
          <w:p w:rsidR="00163A6F" w:rsidRPr="00AE6831" w:rsidRDefault="00163A6F" w:rsidP="0070176D">
            <w:pPr>
              <w:rPr>
                <w:b/>
                <w:sz w:val="22"/>
                <w:szCs w:val="22"/>
              </w:rPr>
            </w:pPr>
            <w:r w:rsidRPr="00AE6831">
              <w:rPr>
                <w:b/>
                <w:sz w:val="22"/>
                <w:szCs w:val="22"/>
              </w:rPr>
              <w:t>RACE*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White</w:t>
            </w:r>
          </w:p>
        </w:tc>
        <w:tc>
          <w:tcPr>
            <w:tcW w:w="3907" w:type="dxa"/>
          </w:tcPr>
          <w:p w:rsidR="00163A6F" w:rsidRDefault="00C9528E" w:rsidP="00DA5C7C">
            <w:pPr>
              <w:rPr>
                <w:sz w:val="22"/>
              </w:rPr>
            </w:pPr>
            <w:r>
              <w:rPr>
                <w:sz w:val="22"/>
              </w:rPr>
              <w:t>All ethnic groups will be positively impacted</w:t>
            </w:r>
            <w:r w:rsidRPr="00EE3A50">
              <w:rPr>
                <w:sz w:val="22"/>
              </w:rPr>
              <w:t xml:space="preserve"> as users of </w:t>
            </w:r>
            <w:r>
              <w:rPr>
                <w:sz w:val="22"/>
              </w:rPr>
              <w:t xml:space="preserve">financial </w:t>
            </w:r>
            <w:r w:rsidRPr="00EE3A50">
              <w:rPr>
                <w:sz w:val="22"/>
              </w:rPr>
              <w:t>advice</w:t>
            </w:r>
            <w:r>
              <w:rPr>
                <w:sz w:val="22"/>
              </w:rPr>
              <w:t xml:space="preserve"> centres</w:t>
            </w:r>
            <w:r w:rsidRPr="00EE3A50">
              <w:rPr>
                <w:sz w:val="22"/>
              </w:rPr>
              <w:t>,</w:t>
            </w:r>
            <w:r>
              <w:rPr>
                <w:sz w:val="22"/>
              </w:rPr>
              <w:t xml:space="preserve"> local community centres (especially in areas of high deprivation)</w:t>
            </w:r>
            <w:r w:rsidRPr="00EE3A50">
              <w:rPr>
                <w:sz w:val="22"/>
              </w:rPr>
              <w:t xml:space="preserve"> disability and arts services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088" w:type="dxa"/>
            <w:vMerge w:val="restart"/>
            <w:shd w:val="clear" w:color="auto" w:fill="CCFFFF"/>
          </w:tcPr>
          <w:p w:rsidR="00163A6F" w:rsidRDefault="00163A6F" w:rsidP="00781F6A">
            <w:pPr>
              <w:rPr>
                <w:i/>
                <w:sz w:val="20"/>
              </w:rPr>
            </w:pPr>
            <w:r w:rsidRPr="00B55E10">
              <w:rPr>
                <w:i/>
                <w:sz w:val="20"/>
              </w:rPr>
              <w:t xml:space="preserve">Further information on the breakdown below each of these headings, as per census, is available </w:t>
            </w:r>
            <w:hyperlink r:id="rId16" w:history="1">
              <w:r w:rsidRPr="00B55E10">
                <w:rPr>
                  <w:rStyle w:val="Hyperlink"/>
                  <w:i/>
                  <w:sz w:val="20"/>
                </w:rPr>
                <w:t>here.</w:t>
              </w:r>
            </w:hyperlink>
          </w:p>
          <w:p w:rsidR="00163A6F" w:rsidRDefault="00163A6F" w:rsidP="00781F6A">
            <w:pPr>
              <w:rPr>
                <w:i/>
                <w:sz w:val="20"/>
              </w:rPr>
            </w:pPr>
          </w:p>
          <w:p w:rsidR="00163A6F" w:rsidRPr="00FC051D" w:rsidRDefault="00163A6F" w:rsidP="00781F6A">
            <w:pPr>
              <w:rPr>
                <w:b/>
                <w:i/>
                <w:sz w:val="20"/>
              </w:rPr>
            </w:pPr>
            <w:r w:rsidRPr="00FC051D">
              <w:rPr>
                <w:i/>
                <w:sz w:val="20"/>
              </w:rPr>
              <w:t>For example Asian includes Chinese, Pakistani and Indian etc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Mixed or Multiple Ethnic Groups</w:t>
            </w:r>
          </w:p>
        </w:tc>
        <w:tc>
          <w:tcPr>
            <w:tcW w:w="3907" w:type="dxa"/>
          </w:tcPr>
          <w:p w:rsidR="00163A6F" w:rsidRDefault="0051416E" w:rsidP="00116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088" w:type="dxa"/>
            <w:vMerge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FC051D">
            <w:pPr>
              <w:rPr>
                <w:sz w:val="22"/>
              </w:rPr>
            </w:pPr>
            <w:r>
              <w:rPr>
                <w:sz w:val="22"/>
              </w:rPr>
              <w:t>Asian</w:t>
            </w:r>
          </w:p>
        </w:tc>
        <w:tc>
          <w:tcPr>
            <w:tcW w:w="3907" w:type="dxa"/>
          </w:tcPr>
          <w:p w:rsidR="00163A6F" w:rsidRDefault="004839F1" w:rsidP="004839F1">
            <w:pPr>
              <w:rPr>
                <w:sz w:val="22"/>
              </w:rPr>
            </w:pPr>
            <w:r>
              <w:rPr>
                <w:sz w:val="22"/>
              </w:rPr>
              <w:t xml:space="preserve">There is a recommendation to support a project working with the Chinese community. 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088" w:type="dxa"/>
            <w:vMerge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African</w:t>
            </w:r>
          </w:p>
        </w:tc>
        <w:tc>
          <w:tcPr>
            <w:tcW w:w="3907" w:type="dxa"/>
          </w:tcPr>
          <w:p w:rsidR="00163A6F" w:rsidRDefault="0051416E" w:rsidP="00116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88" w:type="dxa"/>
            <w:vMerge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 xml:space="preserve">Caribbean or Black </w:t>
            </w:r>
          </w:p>
        </w:tc>
        <w:tc>
          <w:tcPr>
            <w:tcW w:w="3907" w:type="dxa"/>
          </w:tcPr>
          <w:p w:rsidR="00163A6F" w:rsidRDefault="0051416E" w:rsidP="00116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088" w:type="dxa"/>
            <w:vMerge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Other Ethnic Group</w:t>
            </w:r>
          </w:p>
        </w:tc>
        <w:tc>
          <w:tcPr>
            <w:tcW w:w="3907" w:type="dxa"/>
          </w:tcPr>
          <w:p w:rsidR="00163A6F" w:rsidRDefault="00163A6F" w:rsidP="001163BD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874EAF" w:rsidTr="001163BD">
        <w:tblPrEx>
          <w:tblCellMar>
            <w:top w:w="0" w:type="dxa"/>
            <w:bottom w:w="0" w:type="dxa"/>
          </w:tblCellMar>
        </w:tblPrEx>
        <w:tc>
          <w:tcPr>
            <w:tcW w:w="14879" w:type="dxa"/>
            <w:gridSpan w:val="5"/>
            <w:shd w:val="clear" w:color="auto" w:fill="auto"/>
          </w:tcPr>
          <w:p w:rsidR="00874EAF" w:rsidRPr="00CD7794" w:rsidRDefault="00874EAF" w:rsidP="00874EAF">
            <w:pPr>
              <w:rPr>
                <w:sz w:val="18"/>
                <w:szCs w:val="18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088" w:type="dxa"/>
            <w:shd w:val="clear" w:color="auto" w:fill="CCFFFF"/>
            <w:vAlign w:val="center"/>
          </w:tcPr>
          <w:p w:rsidR="00163A6F" w:rsidRPr="00534BCA" w:rsidRDefault="00163A6F" w:rsidP="0070176D">
            <w:pPr>
              <w:rPr>
                <w:b/>
                <w:sz w:val="22"/>
              </w:rPr>
            </w:pPr>
            <w:r w:rsidRPr="00534BCA">
              <w:rPr>
                <w:b/>
                <w:sz w:val="22"/>
              </w:rPr>
              <w:t>DISABILITY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Physical disability</w:t>
            </w:r>
          </w:p>
        </w:tc>
        <w:tc>
          <w:tcPr>
            <w:tcW w:w="3907" w:type="dxa"/>
          </w:tcPr>
          <w:p w:rsidR="00163A6F" w:rsidRDefault="00DA5C7C" w:rsidP="00781F6A">
            <w:pPr>
              <w:rPr>
                <w:sz w:val="22"/>
              </w:rPr>
            </w:pPr>
            <w:r>
              <w:rPr>
                <w:sz w:val="22"/>
              </w:rPr>
              <w:t xml:space="preserve">Positive impact by funding organisations that provide specific supports for disabled people with all conditions. </w:t>
            </w:r>
          </w:p>
          <w:p w:rsidR="00DA5C7C" w:rsidRDefault="00DA5C7C" w:rsidP="00781F6A">
            <w:pPr>
              <w:rPr>
                <w:sz w:val="22"/>
              </w:rPr>
            </w:pPr>
            <w:r>
              <w:rPr>
                <w:sz w:val="22"/>
              </w:rPr>
              <w:t>All disabled people will be positively impacted</w:t>
            </w:r>
            <w:r w:rsidRPr="00EE3A50">
              <w:rPr>
                <w:sz w:val="22"/>
              </w:rPr>
              <w:t xml:space="preserve"> as users of </w:t>
            </w:r>
            <w:r>
              <w:rPr>
                <w:sz w:val="22"/>
              </w:rPr>
              <w:t xml:space="preserve">financial </w:t>
            </w:r>
            <w:r w:rsidRPr="00EE3A50">
              <w:rPr>
                <w:sz w:val="22"/>
              </w:rPr>
              <w:t>advice</w:t>
            </w:r>
            <w:r>
              <w:rPr>
                <w:sz w:val="22"/>
              </w:rPr>
              <w:t xml:space="preserve"> centres</w:t>
            </w:r>
            <w:r w:rsidRPr="00EE3A50">
              <w:rPr>
                <w:sz w:val="22"/>
              </w:rPr>
              <w:t>,</w:t>
            </w:r>
            <w:r>
              <w:rPr>
                <w:sz w:val="22"/>
              </w:rPr>
              <w:t xml:space="preserve"> local community centres (especially in areas of high deprivation)</w:t>
            </w:r>
            <w:r w:rsidRPr="00EE3A50">
              <w:rPr>
                <w:sz w:val="22"/>
              </w:rPr>
              <w:t xml:space="preserve"> disability and arts services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c>
          <w:tcPr>
            <w:tcW w:w="2088" w:type="dxa"/>
            <w:vMerge w:val="restart"/>
            <w:shd w:val="clear" w:color="auto" w:fill="CCFFFF"/>
          </w:tcPr>
          <w:p w:rsidR="00163A6F" w:rsidRPr="0070176D" w:rsidRDefault="00163A6F" w:rsidP="00781F6A">
            <w:pPr>
              <w:rPr>
                <w:i/>
                <w:sz w:val="20"/>
              </w:rPr>
            </w:pPr>
            <w:r w:rsidRPr="0070176D">
              <w:rPr>
                <w:i/>
                <w:sz w:val="20"/>
              </w:rPr>
              <w:t xml:space="preserve">A definition of disability under the Equality Act 2010 is available </w:t>
            </w:r>
            <w:hyperlink r:id="rId17" w:history="1">
              <w:r w:rsidRPr="0070176D">
                <w:rPr>
                  <w:rStyle w:val="Hyperlink"/>
                  <w:i/>
                  <w:sz w:val="20"/>
                </w:rPr>
                <w:t>here.</w:t>
              </w:r>
            </w:hyperlink>
          </w:p>
        </w:tc>
        <w:tc>
          <w:tcPr>
            <w:tcW w:w="2222" w:type="dxa"/>
            <w:shd w:val="clear" w:color="auto" w:fill="CCFFFF"/>
          </w:tcPr>
          <w:p w:rsidR="00163A6F" w:rsidRDefault="00163A6F" w:rsidP="00781F6A">
            <w:pPr>
              <w:rPr>
                <w:sz w:val="22"/>
              </w:rPr>
            </w:pPr>
            <w:r>
              <w:rPr>
                <w:sz w:val="22"/>
              </w:rPr>
              <w:t>Sensory Impairment</w:t>
            </w:r>
          </w:p>
          <w:p w:rsidR="00163A6F" w:rsidRDefault="00163A6F" w:rsidP="00781F6A">
            <w:pPr>
              <w:rPr>
                <w:sz w:val="22"/>
              </w:rPr>
            </w:pPr>
            <w:r>
              <w:rPr>
                <w:sz w:val="22"/>
              </w:rPr>
              <w:t>(sight, hearing, )</w:t>
            </w:r>
          </w:p>
        </w:tc>
        <w:tc>
          <w:tcPr>
            <w:tcW w:w="3907" w:type="dxa"/>
          </w:tcPr>
          <w:p w:rsidR="00163A6F" w:rsidRDefault="0051416E" w:rsidP="00116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088" w:type="dxa"/>
            <w:vMerge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 xml:space="preserve">Mental Health </w:t>
            </w:r>
          </w:p>
        </w:tc>
        <w:tc>
          <w:tcPr>
            <w:tcW w:w="3907" w:type="dxa"/>
          </w:tcPr>
          <w:p w:rsidR="00163A6F" w:rsidRDefault="0051416E" w:rsidP="00116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088" w:type="dxa"/>
            <w:vMerge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Learning Disability</w:t>
            </w:r>
          </w:p>
        </w:tc>
        <w:tc>
          <w:tcPr>
            <w:tcW w:w="3907" w:type="dxa"/>
          </w:tcPr>
          <w:p w:rsidR="00163A6F" w:rsidRDefault="0051416E" w:rsidP="00116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088" w:type="dxa"/>
            <w:shd w:val="clear" w:color="auto" w:fill="CCFFFF"/>
            <w:vAlign w:val="center"/>
          </w:tcPr>
          <w:p w:rsidR="00163A6F" w:rsidRPr="00534BCA" w:rsidRDefault="00163A6F" w:rsidP="0070176D">
            <w:pPr>
              <w:rPr>
                <w:b/>
                <w:sz w:val="22"/>
              </w:rPr>
            </w:pPr>
            <w:r w:rsidRPr="00534BCA">
              <w:rPr>
                <w:b/>
                <w:sz w:val="22"/>
              </w:rPr>
              <w:t>LGBT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Lesbians</w:t>
            </w:r>
          </w:p>
        </w:tc>
        <w:tc>
          <w:tcPr>
            <w:tcW w:w="3907" w:type="dxa"/>
          </w:tcPr>
          <w:p w:rsidR="00163A6F" w:rsidRDefault="00DA5C7C" w:rsidP="00DA5C7C">
            <w:pPr>
              <w:rPr>
                <w:sz w:val="22"/>
              </w:rPr>
            </w:pPr>
            <w:r>
              <w:rPr>
                <w:sz w:val="22"/>
              </w:rPr>
              <w:t>All LGB people will be positively impacted</w:t>
            </w:r>
            <w:r w:rsidRPr="00EE3A50">
              <w:rPr>
                <w:sz w:val="22"/>
              </w:rPr>
              <w:t xml:space="preserve"> as users of </w:t>
            </w:r>
            <w:r>
              <w:rPr>
                <w:sz w:val="22"/>
              </w:rPr>
              <w:t xml:space="preserve">financial </w:t>
            </w:r>
            <w:r w:rsidRPr="00EE3A50">
              <w:rPr>
                <w:sz w:val="22"/>
              </w:rPr>
              <w:t>advice</w:t>
            </w:r>
            <w:r>
              <w:rPr>
                <w:sz w:val="22"/>
              </w:rPr>
              <w:t xml:space="preserve"> centres</w:t>
            </w:r>
            <w:r w:rsidRPr="00EE3A50">
              <w:rPr>
                <w:sz w:val="22"/>
              </w:rPr>
              <w:t>,</w:t>
            </w:r>
            <w:r>
              <w:rPr>
                <w:sz w:val="22"/>
              </w:rPr>
              <w:t xml:space="preserve"> local community centres (especially in areas of high deprivation)</w:t>
            </w:r>
            <w:r w:rsidRPr="00EE3A50">
              <w:rPr>
                <w:sz w:val="22"/>
              </w:rPr>
              <w:t xml:space="preserve"> disability and arts services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088" w:type="dxa"/>
            <w:shd w:val="clear" w:color="auto" w:fill="CCFFFF"/>
            <w:vAlign w:val="center"/>
          </w:tcPr>
          <w:p w:rsidR="00163A6F" w:rsidRPr="00534BCA" w:rsidRDefault="00163A6F" w:rsidP="0070176D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Gay Men</w:t>
            </w:r>
          </w:p>
        </w:tc>
        <w:tc>
          <w:tcPr>
            <w:tcW w:w="3907" w:type="dxa"/>
          </w:tcPr>
          <w:p w:rsidR="00163A6F" w:rsidRDefault="0051416E" w:rsidP="00116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088" w:type="dxa"/>
            <w:shd w:val="clear" w:color="auto" w:fill="CCFFFF"/>
            <w:vAlign w:val="center"/>
          </w:tcPr>
          <w:p w:rsidR="00163A6F" w:rsidRPr="00534BCA" w:rsidRDefault="00163A6F" w:rsidP="0070176D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Bisexual</w:t>
            </w:r>
          </w:p>
        </w:tc>
        <w:tc>
          <w:tcPr>
            <w:tcW w:w="3907" w:type="dxa"/>
          </w:tcPr>
          <w:p w:rsidR="00163A6F" w:rsidRDefault="0051416E" w:rsidP="001163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874EAF" w:rsidTr="001163BD">
        <w:tblPrEx>
          <w:tblCellMar>
            <w:top w:w="0" w:type="dxa"/>
            <w:bottom w:w="0" w:type="dxa"/>
          </w:tblCellMar>
        </w:tblPrEx>
        <w:tc>
          <w:tcPr>
            <w:tcW w:w="14879" w:type="dxa"/>
            <w:gridSpan w:val="5"/>
            <w:shd w:val="clear" w:color="auto" w:fill="auto"/>
            <w:vAlign w:val="center"/>
          </w:tcPr>
          <w:p w:rsidR="00874EAF" w:rsidRPr="00CD7794" w:rsidRDefault="00874EAF" w:rsidP="0070176D">
            <w:pPr>
              <w:rPr>
                <w:sz w:val="18"/>
                <w:szCs w:val="18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088" w:type="dxa"/>
            <w:shd w:val="clear" w:color="auto" w:fill="CCFFFF"/>
            <w:vAlign w:val="center"/>
          </w:tcPr>
          <w:p w:rsidR="00163A6F" w:rsidRPr="00534BCA" w:rsidRDefault="00163A6F" w:rsidP="0070176D">
            <w:pPr>
              <w:rPr>
                <w:b/>
                <w:sz w:val="22"/>
              </w:rPr>
            </w:pPr>
            <w:r w:rsidRPr="00534BCA">
              <w:rPr>
                <w:b/>
                <w:sz w:val="22"/>
              </w:rPr>
              <w:t>AGE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Older People (60 +)</w:t>
            </w:r>
          </w:p>
        </w:tc>
        <w:tc>
          <w:tcPr>
            <w:tcW w:w="3907" w:type="dxa"/>
          </w:tcPr>
          <w:p w:rsidR="00163A6F" w:rsidRDefault="00DA5C7C" w:rsidP="00781F6A">
            <w:pPr>
              <w:rPr>
                <w:sz w:val="22"/>
              </w:rPr>
            </w:pPr>
            <w:r>
              <w:rPr>
                <w:sz w:val="22"/>
              </w:rPr>
              <w:t>All ages will be positively impacted</w:t>
            </w:r>
            <w:r w:rsidRPr="00EE3A50">
              <w:rPr>
                <w:sz w:val="22"/>
              </w:rPr>
              <w:t xml:space="preserve"> as users of </w:t>
            </w:r>
            <w:r>
              <w:rPr>
                <w:sz w:val="22"/>
              </w:rPr>
              <w:t xml:space="preserve">financial </w:t>
            </w:r>
            <w:r w:rsidRPr="00EE3A50">
              <w:rPr>
                <w:sz w:val="22"/>
              </w:rPr>
              <w:t>advice</w:t>
            </w:r>
            <w:r>
              <w:rPr>
                <w:sz w:val="22"/>
              </w:rPr>
              <w:t xml:space="preserve"> centres</w:t>
            </w:r>
            <w:r w:rsidRPr="00EE3A50">
              <w:rPr>
                <w:sz w:val="22"/>
              </w:rPr>
              <w:t>,</w:t>
            </w:r>
            <w:r>
              <w:rPr>
                <w:sz w:val="22"/>
              </w:rPr>
              <w:t xml:space="preserve"> local community centres (especially in areas of high deprivation)</w:t>
            </w:r>
            <w:r w:rsidRPr="00EE3A50">
              <w:rPr>
                <w:sz w:val="22"/>
              </w:rPr>
              <w:t xml:space="preserve"> disability and arts services</w:t>
            </w:r>
            <w:r>
              <w:rPr>
                <w:sz w:val="22"/>
              </w:rPr>
              <w:t>.</w:t>
            </w:r>
          </w:p>
          <w:p w:rsidR="00DA5C7C" w:rsidRDefault="00DA5C7C" w:rsidP="00781F6A">
            <w:pPr>
              <w:rPr>
                <w:sz w:val="22"/>
              </w:rPr>
            </w:pPr>
          </w:p>
          <w:p w:rsidR="00DA5C7C" w:rsidRDefault="00DA5C7C" w:rsidP="00781F6A">
            <w:pPr>
              <w:rPr>
                <w:sz w:val="22"/>
              </w:rPr>
            </w:pPr>
            <w:r>
              <w:rPr>
                <w:sz w:val="22"/>
              </w:rPr>
              <w:t xml:space="preserve">Older people will have positive impacts from the funding of community centres which support befriending services and help reduce social isolation. 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Younger People (16-25)</w:t>
            </w:r>
          </w:p>
        </w:tc>
        <w:tc>
          <w:tcPr>
            <w:tcW w:w="3907" w:type="dxa"/>
          </w:tcPr>
          <w:p w:rsidR="00163A6F" w:rsidRDefault="00DA5C7C" w:rsidP="00781F6A">
            <w:pPr>
              <w:rPr>
                <w:sz w:val="22"/>
              </w:rPr>
            </w:pPr>
            <w:r>
              <w:rPr>
                <w:sz w:val="22"/>
              </w:rPr>
              <w:t xml:space="preserve">Younger people will additionally be supported by local community centres that provide youth work and buddying services.  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088" w:type="dxa"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Children (0-16)</w:t>
            </w:r>
          </w:p>
        </w:tc>
        <w:tc>
          <w:tcPr>
            <w:tcW w:w="3907" w:type="dxa"/>
          </w:tcPr>
          <w:p w:rsidR="00163A6F" w:rsidRDefault="00DA5C7C" w:rsidP="00781F6A">
            <w:pPr>
              <w:rPr>
                <w:sz w:val="22"/>
              </w:rPr>
            </w:pPr>
            <w:r>
              <w:rPr>
                <w:sz w:val="22"/>
              </w:rPr>
              <w:t xml:space="preserve">Children will be additionally supported by the additional provision of childcare services. 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874EAF" w:rsidTr="001163BD">
        <w:tblPrEx>
          <w:tblCellMar>
            <w:top w:w="0" w:type="dxa"/>
            <w:bottom w:w="0" w:type="dxa"/>
          </w:tblCellMar>
        </w:tblPrEx>
        <w:tc>
          <w:tcPr>
            <w:tcW w:w="14879" w:type="dxa"/>
            <w:gridSpan w:val="5"/>
            <w:shd w:val="clear" w:color="auto" w:fill="auto"/>
            <w:vAlign w:val="center"/>
          </w:tcPr>
          <w:p w:rsidR="00874EAF" w:rsidRPr="00CD7794" w:rsidRDefault="00874EAF" w:rsidP="00B55E10">
            <w:pPr>
              <w:rPr>
                <w:sz w:val="18"/>
                <w:szCs w:val="18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163A6F" w:rsidRPr="0070176D" w:rsidRDefault="00163A6F" w:rsidP="00781F6A">
            <w:pPr>
              <w:rPr>
                <w:rFonts w:cs="Arial"/>
                <w:b/>
                <w:sz w:val="22"/>
                <w:szCs w:val="22"/>
              </w:rPr>
            </w:pPr>
            <w:r w:rsidRPr="0070176D">
              <w:rPr>
                <w:rFonts w:cs="Arial"/>
                <w:b/>
                <w:sz w:val="22"/>
                <w:szCs w:val="22"/>
              </w:rPr>
              <w:t xml:space="preserve">MARRIAGE </w:t>
            </w:r>
          </w:p>
          <w:p w:rsidR="00163A6F" w:rsidRPr="00534BCA" w:rsidRDefault="00163A6F" w:rsidP="00781F6A">
            <w:pPr>
              <w:rPr>
                <w:rFonts w:cs="Arial"/>
                <w:b/>
                <w:szCs w:val="24"/>
              </w:rPr>
            </w:pPr>
            <w:r w:rsidRPr="0070176D">
              <w:rPr>
                <w:rFonts w:cs="Arial"/>
                <w:b/>
                <w:sz w:val="22"/>
                <w:szCs w:val="22"/>
              </w:rPr>
              <w:t>&amp; CIVIL PARTNERSHIP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Women</w:t>
            </w:r>
          </w:p>
        </w:tc>
        <w:tc>
          <w:tcPr>
            <w:tcW w:w="3907" w:type="dxa"/>
          </w:tcPr>
          <w:p w:rsidR="00163A6F" w:rsidRDefault="009C3E99" w:rsidP="00781F6A">
            <w:pPr>
              <w:rPr>
                <w:sz w:val="22"/>
              </w:rPr>
            </w:pPr>
            <w:r>
              <w:rPr>
                <w:sz w:val="22"/>
              </w:rPr>
              <w:t xml:space="preserve">No explicit impacts identified, although </w:t>
            </w:r>
            <w:r w:rsidR="008131A9">
              <w:rPr>
                <w:sz w:val="22"/>
              </w:rPr>
              <w:t>access to financial advice centres may have benefits around understanding financial supports and benefits for marriage and civil partnerships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8" w:type="dxa"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Men</w:t>
            </w:r>
          </w:p>
        </w:tc>
        <w:tc>
          <w:tcPr>
            <w:tcW w:w="3907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088" w:type="dxa"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Lesbians</w:t>
            </w:r>
          </w:p>
        </w:tc>
        <w:tc>
          <w:tcPr>
            <w:tcW w:w="3907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088" w:type="dxa"/>
            <w:shd w:val="clear" w:color="auto" w:fill="CCFFFF"/>
          </w:tcPr>
          <w:p w:rsidR="00163A6F" w:rsidRPr="00534BCA" w:rsidRDefault="00163A6F" w:rsidP="00781F6A">
            <w:pPr>
              <w:rPr>
                <w:b/>
                <w:sz w:val="22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Gay Men</w:t>
            </w:r>
          </w:p>
        </w:tc>
        <w:tc>
          <w:tcPr>
            <w:tcW w:w="3907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874EAF" w:rsidTr="001163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879" w:type="dxa"/>
            <w:gridSpan w:val="5"/>
            <w:shd w:val="clear" w:color="auto" w:fill="auto"/>
            <w:vAlign w:val="center"/>
          </w:tcPr>
          <w:p w:rsidR="00874EAF" w:rsidRPr="00CD7794" w:rsidRDefault="00874EAF" w:rsidP="00B55E10">
            <w:pPr>
              <w:rPr>
                <w:sz w:val="18"/>
                <w:szCs w:val="18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163A6F" w:rsidRPr="0070176D" w:rsidRDefault="00163A6F" w:rsidP="00781F6A">
            <w:pPr>
              <w:rPr>
                <w:rFonts w:cs="Arial"/>
                <w:b/>
                <w:sz w:val="22"/>
                <w:szCs w:val="22"/>
              </w:rPr>
            </w:pPr>
            <w:r w:rsidRPr="0070176D">
              <w:rPr>
                <w:rFonts w:cs="Arial"/>
                <w:b/>
                <w:sz w:val="22"/>
                <w:szCs w:val="22"/>
              </w:rPr>
              <w:t>PREGNANCY &amp; MATERNITY</w:t>
            </w:r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Women</w:t>
            </w:r>
          </w:p>
        </w:tc>
        <w:tc>
          <w:tcPr>
            <w:tcW w:w="3907" w:type="dxa"/>
          </w:tcPr>
          <w:p w:rsidR="00163A6F" w:rsidRDefault="00DA5C7C" w:rsidP="00781F6A">
            <w:pPr>
              <w:rPr>
                <w:sz w:val="22"/>
              </w:rPr>
            </w:pPr>
            <w:r>
              <w:rPr>
                <w:sz w:val="22"/>
              </w:rPr>
              <w:t>Women may benefit from financi</w:t>
            </w:r>
            <w:r w:rsidR="001163BD">
              <w:rPr>
                <w:sz w:val="22"/>
              </w:rPr>
              <w:t>al and legal advice in centres.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  <w:tr w:rsidR="00163A6F" w:rsidRPr="00CD7794" w:rsidTr="001163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879" w:type="dxa"/>
            <w:gridSpan w:val="5"/>
            <w:shd w:val="clear" w:color="auto" w:fill="auto"/>
            <w:vAlign w:val="center"/>
          </w:tcPr>
          <w:p w:rsidR="00163A6F" w:rsidRPr="00CD7794" w:rsidRDefault="00163A6F" w:rsidP="00163A6F">
            <w:pPr>
              <w:rPr>
                <w:sz w:val="18"/>
                <w:szCs w:val="18"/>
              </w:rPr>
            </w:pPr>
          </w:p>
        </w:tc>
      </w:tr>
      <w:tr w:rsidR="00163A6F" w:rsidTr="001163BD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CCFFFF"/>
          </w:tcPr>
          <w:p w:rsidR="00163A6F" w:rsidRDefault="00163A6F" w:rsidP="00781F6A">
            <w:pPr>
              <w:rPr>
                <w:sz w:val="22"/>
              </w:rPr>
            </w:pPr>
            <w:r w:rsidRPr="00534BCA">
              <w:rPr>
                <w:b/>
                <w:sz w:val="22"/>
              </w:rPr>
              <w:t>RELIGION &amp; BELIEF</w:t>
            </w:r>
            <w:r>
              <w:rPr>
                <w:sz w:val="22"/>
              </w:rPr>
              <w:t>**</w:t>
            </w:r>
          </w:p>
          <w:p w:rsidR="00163A6F" w:rsidRPr="00CD7794" w:rsidRDefault="00163A6F" w:rsidP="00781F6A">
            <w:pPr>
              <w:rPr>
                <w:b/>
                <w:sz w:val="20"/>
              </w:rPr>
            </w:pPr>
            <w:r w:rsidRPr="00CD7794">
              <w:rPr>
                <w:sz w:val="20"/>
              </w:rPr>
              <w:t xml:space="preserve">A list of religions used in the census is available </w:t>
            </w:r>
            <w:hyperlink r:id="rId18" w:history="1">
              <w:r w:rsidRPr="00CD7794">
                <w:rPr>
                  <w:rStyle w:val="Hyperlink"/>
                  <w:sz w:val="20"/>
                </w:rPr>
                <w:t>here.</w:t>
              </w:r>
            </w:hyperlink>
          </w:p>
        </w:tc>
        <w:tc>
          <w:tcPr>
            <w:tcW w:w="2222" w:type="dxa"/>
            <w:shd w:val="clear" w:color="auto" w:fill="CCFFFF"/>
            <w:vAlign w:val="center"/>
          </w:tcPr>
          <w:p w:rsidR="00163A6F" w:rsidRDefault="00163A6F" w:rsidP="00B55E10">
            <w:pPr>
              <w:rPr>
                <w:sz w:val="22"/>
              </w:rPr>
            </w:pPr>
            <w:r>
              <w:rPr>
                <w:sz w:val="22"/>
              </w:rPr>
              <w:t>See note</w:t>
            </w:r>
          </w:p>
        </w:tc>
        <w:tc>
          <w:tcPr>
            <w:tcW w:w="3907" w:type="dxa"/>
          </w:tcPr>
          <w:p w:rsidR="00163A6F" w:rsidRDefault="00DA5C7C" w:rsidP="00781F6A">
            <w:pPr>
              <w:rPr>
                <w:sz w:val="22"/>
              </w:rPr>
            </w:pPr>
            <w:r>
              <w:rPr>
                <w:sz w:val="22"/>
              </w:rPr>
              <w:t>All religious affiliations will be positively impacted</w:t>
            </w:r>
            <w:r w:rsidRPr="00EE3A50">
              <w:rPr>
                <w:sz w:val="22"/>
              </w:rPr>
              <w:t xml:space="preserve"> as users of </w:t>
            </w:r>
            <w:r>
              <w:rPr>
                <w:sz w:val="22"/>
              </w:rPr>
              <w:t xml:space="preserve">financial </w:t>
            </w:r>
            <w:r w:rsidRPr="00EE3A50">
              <w:rPr>
                <w:sz w:val="22"/>
              </w:rPr>
              <w:t>advice</w:t>
            </w:r>
            <w:r>
              <w:rPr>
                <w:sz w:val="22"/>
              </w:rPr>
              <w:t xml:space="preserve"> centres</w:t>
            </w:r>
            <w:r w:rsidRPr="00EE3A50">
              <w:rPr>
                <w:sz w:val="22"/>
              </w:rPr>
              <w:t>,</w:t>
            </w:r>
            <w:r>
              <w:rPr>
                <w:sz w:val="22"/>
              </w:rPr>
              <w:t xml:space="preserve"> local community centres (especially in areas of high deprivation)</w:t>
            </w:r>
            <w:r w:rsidRPr="00EE3A50">
              <w:rPr>
                <w:sz w:val="22"/>
              </w:rPr>
              <w:t xml:space="preserve"> disability and arts services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</w:tcPr>
          <w:p w:rsidR="00163A6F" w:rsidRDefault="00163A6F" w:rsidP="00781F6A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FFCC99"/>
          </w:tcPr>
          <w:p w:rsidR="00163A6F" w:rsidRDefault="00163A6F" w:rsidP="00781F6A">
            <w:pPr>
              <w:rPr>
                <w:sz w:val="22"/>
              </w:rPr>
            </w:pPr>
          </w:p>
        </w:tc>
      </w:tr>
    </w:tbl>
    <w:p w:rsidR="00AE6831" w:rsidRDefault="0051416E" w:rsidP="00D864DE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81F6A">
        <w:rPr>
          <w:sz w:val="18"/>
          <w:szCs w:val="18"/>
        </w:rPr>
        <w:t xml:space="preserve">* </w:t>
      </w:r>
      <w:r w:rsidR="00AE6831">
        <w:rPr>
          <w:sz w:val="18"/>
          <w:szCs w:val="18"/>
        </w:rPr>
        <w:t>For reasons of brevity race is not an exhaustive list, and therefore please feel free to augment the list above where appropriate; to reflect the complexity of other racial identities.</w:t>
      </w:r>
    </w:p>
    <w:p w:rsidR="00163A6F" w:rsidRDefault="00AE6831" w:rsidP="002101EA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Pr="00781F6A">
        <w:rPr>
          <w:sz w:val="18"/>
          <w:szCs w:val="18"/>
        </w:rPr>
        <w:t>There are too many faith groups to provide a list, therefore, please input the faith group e.g. Muslims, Buddhists, Jews, Christians, Hindus, etc.  Consider the different faith groups individually when consider</w:t>
      </w:r>
      <w:r w:rsidR="00405005">
        <w:rPr>
          <w:sz w:val="18"/>
          <w:szCs w:val="18"/>
        </w:rPr>
        <w:t>ing positive or negative impacts</w:t>
      </w:r>
      <w:r w:rsidR="0070176D">
        <w:rPr>
          <w:sz w:val="18"/>
          <w:szCs w:val="18"/>
        </w:rPr>
        <w:t xml:space="preserve">. </w:t>
      </w:r>
      <w:r w:rsidR="0070176D" w:rsidRPr="0070176D">
        <w:rPr>
          <w:sz w:val="18"/>
          <w:szCs w:val="18"/>
        </w:rPr>
        <w:t xml:space="preserve">A list of religions used in the census is available </w:t>
      </w:r>
      <w:hyperlink r:id="rId19" w:history="1">
        <w:r w:rsidR="0070176D" w:rsidRPr="0070176D">
          <w:rPr>
            <w:rStyle w:val="Hyperlink"/>
            <w:sz w:val="18"/>
            <w:szCs w:val="18"/>
          </w:rPr>
          <w:t>here.</w:t>
        </w:r>
      </w:hyperlink>
    </w:p>
    <w:p w:rsidR="00163A6F" w:rsidRPr="00711922" w:rsidRDefault="00711922" w:rsidP="0051416E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711922">
        <w:rPr>
          <w:sz w:val="32"/>
          <w:szCs w:val="32"/>
        </w:rPr>
        <w:lastRenderedPageBreak/>
        <w:t xml:space="preserve">Summary of </w:t>
      </w:r>
      <w:r w:rsidR="00981B6F">
        <w:rPr>
          <w:sz w:val="32"/>
          <w:szCs w:val="32"/>
        </w:rPr>
        <w:t>Protected Characteristics Most I</w:t>
      </w:r>
      <w:r w:rsidRPr="00711922">
        <w:rPr>
          <w:sz w:val="32"/>
          <w:szCs w:val="32"/>
        </w:rPr>
        <w:t>mpacted</w:t>
      </w:r>
    </w:p>
    <w:tbl>
      <w:tblPr>
        <w:tblpPr w:leftFromText="180" w:rightFromText="180" w:vertAnchor="text" w:horzAnchor="margin" w:tblpX="468" w:tblpY="151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9"/>
      </w:tblGrid>
      <w:tr w:rsidR="00163A6F" w:rsidRPr="00CD7794" w:rsidTr="001163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163A6F" w:rsidRPr="001163BD" w:rsidRDefault="00163A6F" w:rsidP="005427A5">
            <w:pPr>
              <w:rPr>
                <w:sz w:val="22"/>
                <w:szCs w:val="22"/>
              </w:rPr>
            </w:pPr>
          </w:p>
          <w:p w:rsidR="004839F1" w:rsidRPr="001163BD" w:rsidRDefault="00C9528E" w:rsidP="005427A5">
            <w:pPr>
              <w:rPr>
                <w:rFonts w:cs="Arial"/>
                <w:sz w:val="22"/>
                <w:szCs w:val="22"/>
              </w:rPr>
            </w:pPr>
            <w:r w:rsidRPr="001163BD">
              <w:rPr>
                <w:rFonts w:cs="Arial"/>
                <w:sz w:val="22"/>
                <w:szCs w:val="22"/>
              </w:rPr>
              <w:t xml:space="preserve">The </w:t>
            </w:r>
            <w:r w:rsidR="004839F1" w:rsidRPr="001163BD">
              <w:rPr>
                <w:rFonts w:cs="Arial"/>
                <w:sz w:val="22"/>
                <w:szCs w:val="22"/>
              </w:rPr>
              <w:t xml:space="preserve">main </w:t>
            </w:r>
            <w:r w:rsidRPr="001163BD">
              <w:rPr>
                <w:rFonts w:cs="Arial"/>
                <w:sz w:val="22"/>
                <w:szCs w:val="22"/>
              </w:rPr>
              <w:t xml:space="preserve">focus of the fund </w:t>
            </w:r>
            <w:r w:rsidR="004839F1" w:rsidRPr="001163BD">
              <w:rPr>
                <w:rFonts w:cs="Arial"/>
                <w:sz w:val="22"/>
                <w:szCs w:val="22"/>
              </w:rPr>
              <w:t xml:space="preserve">on financial inclusion and VAW </w:t>
            </w:r>
            <w:r w:rsidRPr="001163BD">
              <w:rPr>
                <w:rFonts w:cs="Arial"/>
                <w:sz w:val="22"/>
                <w:szCs w:val="22"/>
              </w:rPr>
              <w:t>means positive impacts for people with protected characteristics.  Advice services, in the areas of the city with high levels of deprivation, support the most vulnerable groups in the community</w:t>
            </w:r>
            <w:r w:rsidR="00DA5C7C" w:rsidRPr="001163BD">
              <w:rPr>
                <w:rFonts w:cs="Arial"/>
                <w:sz w:val="22"/>
                <w:szCs w:val="22"/>
              </w:rPr>
              <w:t>; people with protected characteristics are their service users</w:t>
            </w:r>
            <w:r w:rsidR="001163BD">
              <w:rPr>
                <w:rFonts w:cs="Arial"/>
                <w:sz w:val="22"/>
                <w:szCs w:val="22"/>
              </w:rPr>
              <w:t xml:space="preserve">.  </w:t>
            </w:r>
            <w:r w:rsidRPr="001163BD">
              <w:rPr>
                <w:rFonts w:cs="Arial"/>
                <w:sz w:val="22"/>
                <w:szCs w:val="22"/>
              </w:rPr>
              <w:t xml:space="preserve">Violence against Women organisations provide vital services for women (including transgender women) and </w:t>
            </w:r>
            <w:r w:rsidR="00DA5C7C" w:rsidRPr="001163BD">
              <w:rPr>
                <w:rFonts w:cs="Arial"/>
                <w:sz w:val="22"/>
                <w:szCs w:val="22"/>
              </w:rPr>
              <w:t xml:space="preserve">for </w:t>
            </w:r>
            <w:r w:rsidRPr="001163BD">
              <w:rPr>
                <w:rFonts w:cs="Arial"/>
                <w:sz w:val="22"/>
                <w:szCs w:val="22"/>
              </w:rPr>
              <w:t xml:space="preserve">men </w:t>
            </w:r>
            <w:r w:rsidR="001163BD">
              <w:rPr>
                <w:rFonts w:cs="Arial"/>
                <w:sz w:val="22"/>
                <w:szCs w:val="22"/>
              </w:rPr>
              <w:t xml:space="preserve">as victims of sexual violence. </w:t>
            </w:r>
          </w:p>
          <w:p w:rsidR="002758C9" w:rsidRPr="001163BD" w:rsidRDefault="004839F1" w:rsidP="005427A5">
            <w:pPr>
              <w:rPr>
                <w:rFonts w:cs="Arial"/>
                <w:sz w:val="22"/>
                <w:szCs w:val="22"/>
              </w:rPr>
            </w:pPr>
            <w:r w:rsidRPr="001163BD">
              <w:rPr>
                <w:rFonts w:cs="Arial"/>
                <w:sz w:val="22"/>
                <w:szCs w:val="22"/>
              </w:rPr>
              <w:t>Among the</w:t>
            </w:r>
            <w:r w:rsidR="00C9528E" w:rsidRPr="001163BD">
              <w:rPr>
                <w:rFonts w:cs="Arial"/>
                <w:sz w:val="22"/>
                <w:szCs w:val="22"/>
              </w:rPr>
              <w:t xml:space="preserve"> other equalities organisations </w:t>
            </w:r>
            <w:r w:rsidRPr="001163BD">
              <w:rPr>
                <w:rFonts w:cs="Arial"/>
                <w:sz w:val="22"/>
                <w:szCs w:val="22"/>
              </w:rPr>
              <w:t>recommended there are</w:t>
            </w:r>
            <w:r w:rsidR="00DA5C7C" w:rsidRPr="001163BD">
              <w:rPr>
                <w:rFonts w:cs="Arial"/>
                <w:sz w:val="22"/>
                <w:szCs w:val="22"/>
              </w:rPr>
              <w:t xml:space="preserve"> services for disabled young people, the Chinese Community</w:t>
            </w:r>
            <w:r w:rsidRPr="001163BD">
              <w:rPr>
                <w:rFonts w:cs="Arial"/>
                <w:sz w:val="22"/>
                <w:szCs w:val="22"/>
              </w:rPr>
              <w:t>, and the elderly and young people within deprived communities.  There are also further awards recommended for childcare serv</w:t>
            </w:r>
            <w:r w:rsidR="00811E59" w:rsidRPr="001163BD">
              <w:rPr>
                <w:rFonts w:cs="Arial"/>
                <w:sz w:val="22"/>
                <w:szCs w:val="22"/>
              </w:rPr>
              <w:t>i</w:t>
            </w:r>
            <w:r w:rsidRPr="001163BD">
              <w:rPr>
                <w:rFonts w:cs="Arial"/>
                <w:sz w:val="22"/>
                <w:szCs w:val="22"/>
              </w:rPr>
              <w:t xml:space="preserve">ces that will support the most vulnerable parents.  </w:t>
            </w:r>
          </w:p>
          <w:p w:rsidR="00C9528E" w:rsidRPr="001163BD" w:rsidRDefault="00C9528E" w:rsidP="005427A5">
            <w:pPr>
              <w:rPr>
                <w:rFonts w:cs="Arial"/>
                <w:sz w:val="22"/>
                <w:szCs w:val="22"/>
              </w:rPr>
            </w:pPr>
          </w:p>
          <w:p w:rsidR="008131A9" w:rsidRPr="001163BD" w:rsidRDefault="004839F1" w:rsidP="00811E59">
            <w:pPr>
              <w:pStyle w:val="Default"/>
              <w:jc w:val="both"/>
              <w:rPr>
                <w:sz w:val="22"/>
                <w:szCs w:val="22"/>
              </w:rPr>
            </w:pPr>
            <w:r w:rsidRPr="001163BD">
              <w:rPr>
                <w:sz w:val="22"/>
                <w:szCs w:val="22"/>
              </w:rPr>
              <w:t>However</w:t>
            </w:r>
            <w:r w:rsidR="00811E59" w:rsidRPr="001163BD">
              <w:rPr>
                <w:sz w:val="22"/>
                <w:szCs w:val="22"/>
              </w:rPr>
              <w:t>,</w:t>
            </w:r>
            <w:r w:rsidRPr="001163BD">
              <w:rPr>
                <w:sz w:val="22"/>
                <w:szCs w:val="22"/>
              </w:rPr>
              <w:t xml:space="preserve"> the initial focus on</w:t>
            </w:r>
            <w:r w:rsidR="00811E59" w:rsidRPr="001163BD">
              <w:rPr>
                <w:sz w:val="22"/>
                <w:szCs w:val="22"/>
              </w:rPr>
              <w:t>: r</w:t>
            </w:r>
            <w:r w:rsidRPr="001163BD">
              <w:rPr>
                <w:color w:val="auto"/>
                <w:sz w:val="22"/>
                <w:szCs w:val="22"/>
              </w:rPr>
              <w:t>evisit</w:t>
            </w:r>
            <w:r w:rsidR="00811E59" w:rsidRPr="001163BD">
              <w:rPr>
                <w:color w:val="auto"/>
                <w:sz w:val="22"/>
                <w:szCs w:val="22"/>
              </w:rPr>
              <w:t>ing</w:t>
            </w:r>
            <w:r w:rsidRPr="001163BD">
              <w:rPr>
                <w:color w:val="auto"/>
                <w:sz w:val="22"/>
                <w:szCs w:val="22"/>
              </w:rPr>
              <w:t xml:space="preserve"> the unsuccessful organisations previously funded by the IGF</w:t>
            </w:r>
            <w:r w:rsidR="00811E59" w:rsidRPr="001163BD">
              <w:rPr>
                <w:color w:val="auto"/>
                <w:sz w:val="22"/>
                <w:szCs w:val="22"/>
              </w:rPr>
              <w:t xml:space="preserve">, </w:t>
            </w:r>
            <w:r w:rsidRPr="001163BD">
              <w:rPr>
                <w:color w:val="auto"/>
                <w:sz w:val="22"/>
                <w:szCs w:val="22"/>
              </w:rPr>
              <w:t>identify</w:t>
            </w:r>
            <w:r w:rsidR="00811E59" w:rsidRPr="001163BD">
              <w:rPr>
                <w:color w:val="auto"/>
                <w:sz w:val="22"/>
                <w:szCs w:val="22"/>
              </w:rPr>
              <w:t>ing</w:t>
            </w:r>
            <w:r w:rsidRPr="001163BD">
              <w:rPr>
                <w:color w:val="auto"/>
                <w:sz w:val="22"/>
                <w:szCs w:val="22"/>
              </w:rPr>
              <w:t xml:space="preserve"> those that fall under the areas of focus above, </w:t>
            </w:r>
            <w:r w:rsidR="00811E59" w:rsidRPr="001163BD">
              <w:rPr>
                <w:color w:val="auto"/>
                <w:sz w:val="22"/>
                <w:szCs w:val="22"/>
              </w:rPr>
              <w:t xml:space="preserve">and </w:t>
            </w:r>
            <w:r w:rsidRPr="001163BD">
              <w:rPr>
                <w:color w:val="auto"/>
                <w:sz w:val="22"/>
                <w:szCs w:val="22"/>
              </w:rPr>
              <w:t>ranking them by their assessed score under the GCF assessment</w:t>
            </w:r>
            <w:r w:rsidR="00811E59" w:rsidRPr="001163BD">
              <w:rPr>
                <w:color w:val="auto"/>
                <w:sz w:val="22"/>
                <w:szCs w:val="22"/>
              </w:rPr>
              <w:t xml:space="preserve"> may be limiting.  </w:t>
            </w:r>
            <w:r w:rsidRPr="001163BD">
              <w:rPr>
                <w:sz w:val="22"/>
                <w:szCs w:val="22"/>
              </w:rPr>
              <w:t xml:space="preserve">While </w:t>
            </w:r>
            <w:r w:rsidR="00811E59" w:rsidRPr="001163BD">
              <w:rPr>
                <w:sz w:val="22"/>
                <w:szCs w:val="22"/>
              </w:rPr>
              <w:t xml:space="preserve">there is an obvious fairness in looking at scores, it does not guarantee that equalities organisations will be funded.  </w:t>
            </w:r>
            <w:r w:rsidR="001D7F58" w:rsidRPr="001163BD">
              <w:rPr>
                <w:sz w:val="22"/>
                <w:szCs w:val="22"/>
              </w:rPr>
              <w:t xml:space="preserve">For example, there is still very little funding for LGBT organisations.  </w:t>
            </w:r>
          </w:p>
          <w:p w:rsidR="008131A9" w:rsidRPr="001163BD" w:rsidRDefault="008131A9" w:rsidP="00811E5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11922" w:rsidRPr="001163BD" w:rsidRDefault="001D7F58" w:rsidP="001163BD">
            <w:pPr>
              <w:pStyle w:val="Default"/>
              <w:jc w:val="both"/>
              <w:rPr>
                <w:sz w:val="22"/>
                <w:szCs w:val="22"/>
              </w:rPr>
            </w:pPr>
            <w:r w:rsidRPr="001163BD">
              <w:rPr>
                <w:sz w:val="22"/>
                <w:szCs w:val="22"/>
              </w:rPr>
              <w:t xml:space="preserve">A fuller review of how equalities are being addressed within the funded projects would be </w:t>
            </w:r>
            <w:r w:rsidR="008131A9" w:rsidRPr="001163BD">
              <w:rPr>
                <w:sz w:val="22"/>
                <w:szCs w:val="22"/>
              </w:rPr>
              <w:t xml:space="preserve">required in future monitoring. </w:t>
            </w:r>
          </w:p>
        </w:tc>
      </w:tr>
    </w:tbl>
    <w:p w:rsidR="00163A6F" w:rsidRDefault="00163A6F" w:rsidP="00405005">
      <w:pPr>
        <w:ind w:left="360"/>
        <w:rPr>
          <w:sz w:val="18"/>
          <w:szCs w:val="18"/>
        </w:rPr>
      </w:pPr>
    </w:p>
    <w:p w:rsidR="00171C8D" w:rsidRDefault="008131A9" w:rsidP="00711922">
      <w:pPr>
        <w:ind w:left="360"/>
        <w:rPr>
          <w:sz w:val="32"/>
          <w:szCs w:val="32"/>
        </w:rPr>
      </w:pPr>
      <w:r w:rsidRPr="00711922">
        <w:rPr>
          <w:sz w:val="32"/>
          <w:szCs w:val="32"/>
        </w:rPr>
        <w:t xml:space="preserve">Summary of </w:t>
      </w:r>
      <w:r>
        <w:rPr>
          <w:sz w:val="32"/>
          <w:szCs w:val="32"/>
        </w:rPr>
        <w:t>Socio Economic Impacts</w:t>
      </w:r>
    </w:p>
    <w:tbl>
      <w:tblPr>
        <w:tblpPr w:leftFromText="180" w:rightFromText="180" w:vertAnchor="text" w:horzAnchor="margin" w:tblpX="468" w:tblpY="151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9"/>
      </w:tblGrid>
      <w:tr w:rsidR="008131A9" w:rsidRPr="00CD7794" w:rsidTr="001163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8131A9" w:rsidRPr="001163BD" w:rsidRDefault="008131A9" w:rsidP="00A4185A">
            <w:pPr>
              <w:rPr>
                <w:rFonts w:cs="Arial"/>
                <w:color w:val="FF0000"/>
                <w:sz w:val="22"/>
                <w:szCs w:val="22"/>
              </w:rPr>
            </w:pPr>
            <w:r w:rsidRPr="001163BD">
              <w:rPr>
                <w:rFonts w:cs="Arial"/>
                <w:sz w:val="22"/>
                <w:szCs w:val="22"/>
              </w:rPr>
              <w:t xml:space="preserve">As noted above; consideration of the most severely impacted sectors will necessary include consideration of funding outcomes that explicitly and implicitly supporting the </w:t>
            </w:r>
            <w:hyperlink r:id="rId20" w:history="1">
              <w:r w:rsidRPr="001163BD">
                <w:rPr>
                  <w:rStyle w:val="Hyperlink"/>
                  <w:rFonts w:cs="Arial"/>
                  <w:sz w:val="22"/>
                  <w:szCs w:val="22"/>
                </w:rPr>
                <w:t>Fairer Scotland duty.</w:t>
              </w:r>
            </w:hyperlink>
          </w:p>
          <w:p w:rsidR="008131A9" w:rsidRPr="001163BD" w:rsidRDefault="008131A9" w:rsidP="00A4185A">
            <w:pPr>
              <w:rPr>
                <w:rFonts w:cs="Arial"/>
                <w:sz w:val="22"/>
                <w:szCs w:val="22"/>
              </w:rPr>
            </w:pPr>
          </w:p>
          <w:p w:rsidR="008131A9" w:rsidRPr="001163BD" w:rsidRDefault="008131A9" w:rsidP="001163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1163BD">
              <w:rPr>
                <w:rFonts w:cs="Arial"/>
                <w:sz w:val="22"/>
                <w:szCs w:val="22"/>
                <w:lang w:eastAsia="en-GB"/>
              </w:rPr>
              <w:t>It is anticipated that proposed funding recommendations will have a positive impact on third sector jobs, skills, local communities, social and community cohesion</w:t>
            </w:r>
          </w:p>
        </w:tc>
      </w:tr>
    </w:tbl>
    <w:p w:rsidR="008131A9" w:rsidRDefault="008131A9" w:rsidP="008131A9">
      <w:pPr>
        <w:rPr>
          <w:sz w:val="18"/>
          <w:szCs w:val="18"/>
        </w:rPr>
      </w:pPr>
    </w:p>
    <w:p w:rsidR="00163A6F" w:rsidRDefault="00711922" w:rsidP="00711922">
      <w:pPr>
        <w:ind w:left="360"/>
        <w:rPr>
          <w:sz w:val="32"/>
          <w:szCs w:val="32"/>
        </w:rPr>
      </w:pPr>
      <w:r w:rsidRPr="00711922">
        <w:rPr>
          <w:sz w:val="32"/>
          <w:szCs w:val="32"/>
        </w:rPr>
        <w:t xml:space="preserve">Summary of </w:t>
      </w:r>
      <w:r>
        <w:rPr>
          <w:sz w:val="32"/>
          <w:szCs w:val="32"/>
        </w:rPr>
        <w:t>Human Rights Impacts</w:t>
      </w:r>
    </w:p>
    <w:p w:rsidR="00711922" w:rsidRDefault="00711922" w:rsidP="00711922">
      <w:pPr>
        <w:ind w:left="360"/>
        <w:rPr>
          <w:sz w:val="32"/>
          <w:szCs w:val="32"/>
        </w:rPr>
      </w:pPr>
    </w:p>
    <w:tbl>
      <w:tblPr>
        <w:tblpPr w:leftFromText="180" w:rightFromText="180" w:vertAnchor="text" w:horzAnchor="margin" w:tblpX="468" w:tblpY="151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9"/>
      </w:tblGrid>
      <w:tr w:rsidR="00711922" w:rsidRPr="00CD7794" w:rsidTr="001163B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FE09C9" w:rsidRPr="001163BD" w:rsidRDefault="00AE7B14" w:rsidP="005427A5">
            <w:pPr>
              <w:rPr>
                <w:rFonts w:cs="Arial"/>
                <w:sz w:val="22"/>
                <w:szCs w:val="22"/>
              </w:rPr>
            </w:pPr>
            <w:r w:rsidRPr="001163BD">
              <w:rPr>
                <w:rFonts w:cs="Arial"/>
                <w:sz w:val="22"/>
                <w:szCs w:val="22"/>
              </w:rPr>
              <w:t xml:space="preserve">The transition fund </w:t>
            </w:r>
            <w:r w:rsidR="00FE09C9" w:rsidRPr="001163BD">
              <w:rPr>
                <w:rFonts w:cs="Arial"/>
                <w:sz w:val="22"/>
                <w:szCs w:val="22"/>
              </w:rPr>
              <w:t>supports the</w:t>
            </w:r>
            <w:r w:rsidRPr="001163BD">
              <w:rPr>
                <w:rFonts w:cs="Arial"/>
                <w:sz w:val="22"/>
                <w:szCs w:val="22"/>
              </w:rPr>
              <w:t xml:space="preserve"> principles of the Community Empowerment Act which</w:t>
            </w:r>
            <w:r w:rsidR="00FE09C9" w:rsidRPr="001163BD">
              <w:rPr>
                <w:rFonts w:cs="Arial"/>
                <w:sz w:val="22"/>
                <w:szCs w:val="22"/>
              </w:rPr>
              <w:t xml:space="preserve"> does not impinge negatively on Human Rights</w:t>
            </w:r>
          </w:p>
          <w:p w:rsidR="00FE09C9" w:rsidRPr="001163BD" w:rsidRDefault="00FE09C9" w:rsidP="005427A5">
            <w:pPr>
              <w:rPr>
                <w:rFonts w:cs="Arial"/>
                <w:sz w:val="22"/>
                <w:szCs w:val="22"/>
              </w:rPr>
            </w:pPr>
          </w:p>
          <w:p w:rsidR="001163BD" w:rsidRPr="001163BD" w:rsidRDefault="00E016B3" w:rsidP="005427A5">
            <w:pPr>
              <w:rPr>
                <w:rFonts w:cs="Arial"/>
                <w:sz w:val="22"/>
                <w:szCs w:val="22"/>
              </w:rPr>
            </w:pPr>
            <w:hyperlink r:id="rId21" w:tooltip="Link to committee report" w:history="1">
              <w:r w:rsidRPr="00AE307F">
                <w:rPr>
                  <w:rStyle w:val="Hyperlink"/>
                  <w:rFonts w:cs="Arial"/>
                  <w:sz w:val="22"/>
                  <w:szCs w:val="22"/>
                </w:rPr>
                <w:t>www.glasgow.gov.uk/councillorsandcommitte</w:t>
              </w:r>
              <w:r w:rsidRPr="00AE307F">
                <w:rPr>
                  <w:rStyle w:val="Hyperlink"/>
                  <w:rFonts w:cs="Arial"/>
                  <w:sz w:val="22"/>
                  <w:szCs w:val="22"/>
                </w:rPr>
                <w:t>e</w:t>
              </w:r>
              <w:r w:rsidRPr="00AE307F">
                <w:rPr>
                  <w:rStyle w:val="Hyperlink"/>
                  <w:rFonts w:cs="Arial"/>
                  <w:sz w:val="22"/>
                  <w:szCs w:val="22"/>
                </w:rPr>
                <w:t>s/viewSelectedDocument.asp?c=P62AFQUT2UDXDN81</w:t>
              </w:r>
            </w:hyperlink>
          </w:p>
          <w:p w:rsidR="00711922" w:rsidRPr="001163BD" w:rsidRDefault="00711922" w:rsidP="005427A5">
            <w:pPr>
              <w:rPr>
                <w:rFonts w:cs="Arial"/>
                <w:sz w:val="22"/>
                <w:szCs w:val="22"/>
              </w:rPr>
            </w:pPr>
          </w:p>
          <w:p w:rsidR="00711922" w:rsidRPr="00CD7794" w:rsidRDefault="00FE09C9" w:rsidP="001163BD">
            <w:pPr>
              <w:rPr>
                <w:sz w:val="18"/>
                <w:szCs w:val="18"/>
              </w:rPr>
            </w:pPr>
            <w:r w:rsidRPr="001163BD">
              <w:rPr>
                <w:rFonts w:cs="Arial"/>
                <w:sz w:val="22"/>
                <w:szCs w:val="22"/>
              </w:rPr>
              <w:t>(page 12)</w:t>
            </w:r>
          </w:p>
        </w:tc>
      </w:tr>
    </w:tbl>
    <w:p w:rsidR="00711922" w:rsidRDefault="00711922" w:rsidP="00E016B3">
      <w:pPr>
        <w:rPr>
          <w:sz w:val="18"/>
          <w:szCs w:val="18"/>
        </w:rPr>
      </w:pPr>
    </w:p>
    <w:p w:rsidR="00711922" w:rsidRPr="00781F6A" w:rsidRDefault="00711922" w:rsidP="00405005">
      <w:pPr>
        <w:ind w:left="360"/>
        <w:rPr>
          <w:sz w:val="18"/>
          <w:szCs w:val="18"/>
        </w:rPr>
        <w:sectPr w:rsidR="00711922" w:rsidRPr="00781F6A" w:rsidSect="002101EA">
          <w:pgSz w:w="16838" w:h="11906" w:orient="landscape" w:code="9"/>
          <w:pgMar w:top="851" w:right="426" w:bottom="851" w:left="851" w:header="720" w:footer="340" w:gutter="0"/>
          <w:cols w:space="720"/>
          <w:docGrid w:linePitch="326"/>
        </w:sectPr>
      </w:pPr>
    </w:p>
    <w:p w:rsidR="00CE1909" w:rsidRPr="00B04CFA" w:rsidRDefault="007073B2" w:rsidP="005272A9">
      <w:pPr>
        <w:pStyle w:val="Heading1"/>
        <w:numPr>
          <w:ilvl w:val="0"/>
          <w:numId w:val="8"/>
        </w:numPr>
        <w:rPr>
          <w:sz w:val="36"/>
          <w:szCs w:val="36"/>
        </w:rPr>
      </w:pPr>
      <w:r w:rsidRPr="00B04CFA">
        <w:rPr>
          <w:sz w:val="36"/>
          <w:szCs w:val="36"/>
        </w:rPr>
        <w:lastRenderedPageBreak/>
        <w:t xml:space="preserve">OUTCOMES, </w:t>
      </w:r>
      <w:r w:rsidR="00CE1909" w:rsidRPr="00B04CFA">
        <w:rPr>
          <w:sz w:val="36"/>
          <w:szCs w:val="36"/>
        </w:rPr>
        <w:t>ACTION</w:t>
      </w:r>
      <w:r w:rsidRPr="00B04CFA">
        <w:rPr>
          <w:sz w:val="36"/>
          <w:szCs w:val="36"/>
        </w:rPr>
        <w:t xml:space="preserve"> &amp; PUBLIC REPORTING</w:t>
      </w:r>
    </w:p>
    <w:p w:rsidR="00460F93" w:rsidRDefault="00460F93" w:rsidP="00460F93">
      <w:pPr>
        <w:rPr>
          <w:sz w:val="22"/>
        </w:rPr>
      </w:pPr>
    </w:p>
    <w:tbl>
      <w:tblPr>
        <w:tblW w:w="14929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9"/>
        <w:gridCol w:w="5670"/>
      </w:tblGrid>
      <w:tr w:rsidR="00460F93" w:rsidRPr="00ED47F5" w:rsidTr="00E016B3">
        <w:tblPrEx>
          <w:tblCellMar>
            <w:top w:w="0" w:type="dxa"/>
            <w:bottom w:w="0" w:type="dxa"/>
          </w:tblCellMar>
        </w:tblPrEx>
        <w:tc>
          <w:tcPr>
            <w:tcW w:w="9259" w:type="dxa"/>
            <w:tcBorders>
              <w:bottom w:val="single" w:sz="4" w:space="0" w:color="auto"/>
            </w:tcBorders>
            <w:shd w:val="clear" w:color="auto" w:fill="D9D9D9"/>
          </w:tcPr>
          <w:p w:rsidR="00460F93" w:rsidRPr="00E016B3" w:rsidRDefault="00460F93" w:rsidP="005427A5">
            <w:pPr>
              <w:rPr>
                <w:b/>
                <w:sz w:val="12"/>
                <w:szCs w:val="12"/>
              </w:rPr>
            </w:pPr>
          </w:p>
          <w:p w:rsidR="00460F93" w:rsidRPr="002101EA" w:rsidRDefault="00460F93" w:rsidP="002101EA">
            <w:pPr>
              <w:jc w:val="center"/>
              <w:rPr>
                <w:b/>
                <w:sz w:val="36"/>
                <w:szCs w:val="36"/>
              </w:rPr>
            </w:pPr>
            <w:r w:rsidRPr="002101EA">
              <w:rPr>
                <w:b/>
                <w:sz w:val="36"/>
                <w:szCs w:val="36"/>
              </w:rPr>
              <w:t>Screening Outcome</w:t>
            </w:r>
          </w:p>
        </w:tc>
        <w:tc>
          <w:tcPr>
            <w:tcW w:w="5670" w:type="dxa"/>
            <w:shd w:val="clear" w:color="auto" w:fill="D9D9D9"/>
          </w:tcPr>
          <w:p w:rsidR="00460F93" w:rsidRPr="00E016B3" w:rsidRDefault="00460F93" w:rsidP="005427A5">
            <w:pPr>
              <w:rPr>
                <w:b/>
                <w:sz w:val="12"/>
                <w:szCs w:val="12"/>
              </w:rPr>
            </w:pPr>
          </w:p>
          <w:p w:rsidR="00460F93" w:rsidRPr="002101EA" w:rsidRDefault="00460F93" w:rsidP="005427A5">
            <w:pPr>
              <w:rPr>
                <w:b/>
                <w:sz w:val="28"/>
                <w:szCs w:val="28"/>
              </w:rPr>
            </w:pPr>
            <w:r w:rsidRPr="002101EA">
              <w:rPr>
                <w:b/>
                <w:sz w:val="28"/>
                <w:szCs w:val="28"/>
              </w:rPr>
              <w:t xml:space="preserve">Yes /No </w:t>
            </w:r>
          </w:p>
          <w:p w:rsidR="00CE4FCB" w:rsidRDefault="00460F93" w:rsidP="005427A5">
            <w:pPr>
              <w:rPr>
                <w:b/>
                <w:sz w:val="28"/>
                <w:szCs w:val="28"/>
              </w:rPr>
            </w:pPr>
            <w:r w:rsidRPr="002101EA">
              <w:rPr>
                <w:b/>
                <w:sz w:val="28"/>
                <w:szCs w:val="28"/>
              </w:rPr>
              <w:t>Or /</w:t>
            </w:r>
          </w:p>
          <w:p w:rsidR="00460F93" w:rsidRPr="002101EA" w:rsidRDefault="00460F93" w:rsidP="005427A5">
            <w:pPr>
              <w:rPr>
                <w:b/>
                <w:sz w:val="28"/>
                <w:szCs w:val="28"/>
              </w:rPr>
            </w:pPr>
            <w:r w:rsidRPr="002101EA">
              <w:rPr>
                <w:b/>
                <w:sz w:val="28"/>
                <w:szCs w:val="28"/>
              </w:rPr>
              <w:t>Not At This Stage</w:t>
            </w:r>
          </w:p>
          <w:p w:rsidR="00460F93" w:rsidRPr="00E016B3" w:rsidRDefault="00460F93" w:rsidP="005427A5">
            <w:pPr>
              <w:rPr>
                <w:b/>
                <w:sz w:val="12"/>
                <w:szCs w:val="12"/>
              </w:rPr>
            </w:pPr>
          </w:p>
        </w:tc>
      </w:tr>
      <w:tr w:rsidR="00460F93" w:rsidTr="00E016B3">
        <w:tblPrEx>
          <w:tblCellMar>
            <w:top w:w="0" w:type="dxa"/>
            <w:bottom w:w="0" w:type="dxa"/>
          </w:tblCellMar>
        </w:tblPrEx>
        <w:tc>
          <w:tcPr>
            <w:tcW w:w="9259" w:type="dxa"/>
            <w:shd w:val="clear" w:color="auto" w:fill="CCFFFF"/>
          </w:tcPr>
          <w:p w:rsidR="00460F93" w:rsidRPr="002101EA" w:rsidRDefault="00460F93" w:rsidP="005427A5">
            <w:pPr>
              <w:rPr>
                <w:b/>
                <w:sz w:val="22"/>
                <w:szCs w:val="22"/>
              </w:rPr>
            </w:pPr>
            <w:r w:rsidRPr="002101EA">
              <w:rPr>
                <w:b/>
                <w:sz w:val="22"/>
                <w:szCs w:val="22"/>
              </w:rPr>
              <w:t xml:space="preserve">Was a significant level of negative </w:t>
            </w:r>
            <w:r w:rsidR="002758C9">
              <w:rPr>
                <w:b/>
                <w:sz w:val="22"/>
                <w:szCs w:val="22"/>
              </w:rPr>
              <w:t xml:space="preserve">or positive </w:t>
            </w:r>
            <w:r w:rsidRPr="002101EA">
              <w:rPr>
                <w:b/>
                <w:sz w:val="22"/>
                <w:szCs w:val="22"/>
              </w:rPr>
              <w:t xml:space="preserve">impact arising from </w:t>
            </w:r>
            <w:r w:rsidR="002758C9">
              <w:rPr>
                <w:b/>
                <w:sz w:val="22"/>
                <w:szCs w:val="22"/>
              </w:rPr>
              <w:t>the project, policy or strategy</w:t>
            </w:r>
            <w:r w:rsidR="00B04CFA" w:rsidRPr="002101EA">
              <w:rPr>
                <w:b/>
                <w:sz w:val="22"/>
                <w:szCs w:val="22"/>
              </w:rPr>
              <w:t xml:space="preserve"> </w:t>
            </w:r>
            <w:r w:rsidRPr="002101EA">
              <w:rPr>
                <w:b/>
                <w:sz w:val="22"/>
                <w:szCs w:val="22"/>
              </w:rPr>
              <w:t>identified?</w:t>
            </w:r>
          </w:p>
          <w:p w:rsidR="00460F93" w:rsidRPr="002101EA" w:rsidRDefault="00460F93" w:rsidP="005427A5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460F93" w:rsidRPr="001D7F58" w:rsidRDefault="00FE09C9" w:rsidP="00E016B3">
            <w:pPr>
              <w:rPr>
                <w:sz w:val="22"/>
                <w:szCs w:val="22"/>
              </w:rPr>
            </w:pPr>
            <w:r w:rsidRPr="001D7F58">
              <w:rPr>
                <w:sz w:val="22"/>
                <w:szCs w:val="22"/>
              </w:rPr>
              <w:t>No significant negative impact was identified at this stage</w:t>
            </w:r>
            <w:r w:rsidR="002758C9" w:rsidRPr="001D7F58">
              <w:rPr>
                <w:sz w:val="22"/>
                <w:szCs w:val="22"/>
              </w:rPr>
              <w:t>.</w:t>
            </w:r>
          </w:p>
          <w:p w:rsidR="002758C9" w:rsidRPr="001D7F58" w:rsidRDefault="002758C9" w:rsidP="00E016B3">
            <w:pPr>
              <w:rPr>
                <w:sz w:val="22"/>
                <w:szCs w:val="22"/>
              </w:rPr>
            </w:pPr>
          </w:p>
          <w:p w:rsidR="002758C9" w:rsidRPr="001D7F58" w:rsidRDefault="002758C9" w:rsidP="00E016B3">
            <w:pPr>
              <w:rPr>
                <w:sz w:val="22"/>
                <w:szCs w:val="22"/>
              </w:rPr>
            </w:pPr>
            <w:r w:rsidRPr="001D7F58">
              <w:rPr>
                <w:sz w:val="22"/>
                <w:szCs w:val="22"/>
              </w:rPr>
              <w:t>Positive Impacts identified and noted above</w:t>
            </w:r>
          </w:p>
        </w:tc>
      </w:tr>
      <w:tr w:rsidR="00460F93" w:rsidTr="00E016B3">
        <w:tblPrEx>
          <w:tblCellMar>
            <w:top w:w="0" w:type="dxa"/>
            <w:bottom w:w="0" w:type="dxa"/>
          </w:tblCellMar>
        </w:tblPrEx>
        <w:tc>
          <w:tcPr>
            <w:tcW w:w="9259" w:type="dxa"/>
            <w:tcBorders>
              <w:bottom w:val="single" w:sz="4" w:space="0" w:color="auto"/>
            </w:tcBorders>
            <w:shd w:val="clear" w:color="auto" w:fill="CCFFFF"/>
          </w:tcPr>
          <w:p w:rsidR="00460F93" w:rsidRPr="002101EA" w:rsidRDefault="00460F93" w:rsidP="005427A5">
            <w:pPr>
              <w:rPr>
                <w:b/>
                <w:sz w:val="22"/>
                <w:szCs w:val="22"/>
              </w:rPr>
            </w:pPr>
            <w:r w:rsidRPr="002101EA">
              <w:rPr>
                <w:b/>
                <w:sz w:val="22"/>
                <w:szCs w:val="22"/>
              </w:rPr>
              <w:t>Does the project, policy or strategy require to be amended to have a positive impact?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E09C9" w:rsidRPr="001D7F58" w:rsidRDefault="00FE09C9" w:rsidP="00E016B3">
            <w:pPr>
              <w:rPr>
                <w:sz w:val="22"/>
                <w:szCs w:val="22"/>
              </w:rPr>
            </w:pPr>
            <w:r w:rsidRPr="001D7F58">
              <w:rPr>
                <w:sz w:val="22"/>
                <w:szCs w:val="22"/>
              </w:rPr>
              <w:t>Not at this stage</w:t>
            </w:r>
          </w:p>
        </w:tc>
      </w:tr>
      <w:tr w:rsidR="00460F93" w:rsidTr="00E016B3">
        <w:tblPrEx>
          <w:tblCellMar>
            <w:top w:w="0" w:type="dxa"/>
            <w:bottom w:w="0" w:type="dxa"/>
          </w:tblCellMar>
        </w:tblPrEx>
        <w:tc>
          <w:tcPr>
            <w:tcW w:w="9259" w:type="dxa"/>
            <w:tcBorders>
              <w:bottom w:val="single" w:sz="4" w:space="0" w:color="auto"/>
            </w:tcBorders>
            <w:shd w:val="clear" w:color="auto" w:fill="CCFFFF"/>
          </w:tcPr>
          <w:p w:rsidR="00460F93" w:rsidRPr="002101EA" w:rsidRDefault="00460F93" w:rsidP="005427A5">
            <w:pPr>
              <w:rPr>
                <w:b/>
                <w:sz w:val="22"/>
                <w:szCs w:val="22"/>
              </w:rPr>
            </w:pPr>
            <w:r w:rsidRPr="002101EA">
              <w:rPr>
                <w:b/>
                <w:sz w:val="22"/>
                <w:szCs w:val="22"/>
              </w:rPr>
              <w:t>Does a Full Impact Assessment need to be undertaken?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E09C9" w:rsidRPr="001D7F58" w:rsidRDefault="00FE09C9" w:rsidP="00E016B3">
            <w:pPr>
              <w:rPr>
                <w:sz w:val="22"/>
                <w:szCs w:val="22"/>
              </w:rPr>
            </w:pPr>
            <w:r w:rsidRPr="001D7F58">
              <w:rPr>
                <w:sz w:val="22"/>
                <w:szCs w:val="22"/>
              </w:rPr>
              <w:t>Not at this stage</w:t>
            </w:r>
          </w:p>
        </w:tc>
      </w:tr>
    </w:tbl>
    <w:p w:rsidR="00460F93" w:rsidRDefault="00460F93" w:rsidP="00460F93">
      <w:pPr>
        <w:rPr>
          <w:sz w:val="22"/>
          <w:szCs w:val="22"/>
        </w:rPr>
      </w:pPr>
    </w:p>
    <w:tbl>
      <w:tblPr>
        <w:tblW w:w="14929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2"/>
        <w:gridCol w:w="3402"/>
        <w:gridCol w:w="6095"/>
      </w:tblGrid>
      <w:tr w:rsidR="00460F93" w:rsidRPr="00ED47F5" w:rsidTr="00E016B3">
        <w:tblPrEx>
          <w:tblCellMar>
            <w:top w:w="0" w:type="dxa"/>
            <w:bottom w:w="0" w:type="dxa"/>
          </w:tblCellMar>
        </w:tblPrEx>
        <w:tc>
          <w:tcPr>
            <w:tcW w:w="1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0F93" w:rsidRPr="00E016B3" w:rsidRDefault="00460F93" w:rsidP="005427A5">
            <w:pPr>
              <w:rPr>
                <w:b/>
                <w:sz w:val="8"/>
                <w:szCs w:val="8"/>
              </w:rPr>
            </w:pPr>
          </w:p>
          <w:p w:rsidR="00460F93" w:rsidRPr="002101EA" w:rsidRDefault="00B04CFA" w:rsidP="002101EA">
            <w:pPr>
              <w:jc w:val="center"/>
              <w:rPr>
                <w:sz w:val="36"/>
                <w:szCs w:val="36"/>
              </w:rPr>
            </w:pPr>
            <w:r w:rsidRPr="002101EA">
              <w:rPr>
                <w:b/>
                <w:sz w:val="36"/>
                <w:szCs w:val="36"/>
              </w:rPr>
              <w:t xml:space="preserve">Actions: </w:t>
            </w:r>
            <w:r w:rsidR="00460F93" w:rsidRPr="002101EA">
              <w:rPr>
                <w:b/>
                <w:sz w:val="36"/>
                <w:szCs w:val="36"/>
              </w:rPr>
              <w:t>Next Steps</w:t>
            </w:r>
          </w:p>
          <w:p w:rsidR="00460F93" w:rsidRPr="00460F93" w:rsidRDefault="00460F93" w:rsidP="002101EA">
            <w:pPr>
              <w:jc w:val="center"/>
              <w:rPr>
                <w:sz w:val="16"/>
                <w:szCs w:val="16"/>
              </w:rPr>
            </w:pPr>
          </w:p>
          <w:p w:rsidR="00460F93" w:rsidRPr="00460F93" w:rsidRDefault="00460F93" w:rsidP="00E016B3">
            <w:pPr>
              <w:jc w:val="center"/>
              <w:rPr>
                <w:sz w:val="18"/>
                <w:szCs w:val="18"/>
              </w:rPr>
            </w:pPr>
            <w:r w:rsidRPr="00ED47F5">
              <w:rPr>
                <w:sz w:val="18"/>
                <w:szCs w:val="18"/>
              </w:rPr>
              <w:t xml:space="preserve">(i.e. is there a strategic group that can monitor </w:t>
            </w:r>
            <w:r>
              <w:rPr>
                <w:sz w:val="18"/>
                <w:szCs w:val="18"/>
              </w:rPr>
              <w:t>any future</w:t>
            </w:r>
            <w:r w:rsidR="00B04CFA">
              <w:rPr>
                <w:sz w:val="18"/>
                <w:szCs w:val="18"/>
              </w:rPr>
              <w:t xml:space="preserve"> actions)</w:t>
            </w:r>
          </w:p>
        </w:tc>
      </w:tr>
      <w:tr w:rsidR="00460F93" w:rsidTr="00E016B3">
        <w:tblPrEx>
          <w:tblCellMar>
            <w:top w:w="0" w:type="dxa"/>
            <w:bottom w:w="0" w:type="dxa"/>
          </w:tblCellMar>
        </w:tblPrEx>
        <w:tc>
          <w:tcPr>
            <w:tcW w:w="5432" w:type="dxa"/>
            <w:tcBorders>
              <w:bottom w:val="single" w:sz="4" w:space="0" w:color="auto"/>
            </w:tcBorders>
            <w:shd w:val="clear" w:color="auto" w:fill="D9D9D9"/>
          </w:tcPr>
          <w:p w:rsidR="00460F93" w:rsidRPr="00ED47F5" w:rsidRDefault="00460F93" w:rsidP="00217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Further </w:t>
            </w:r>
            <w:r w:rsidRPr="00ED47F5">
              <w:rPr>
                <w:b/>
                <w:sz w:val="22"/>
              </w:rPr>
              <w:t>Action Required</w:t>
            </w:r>
            <w:r>
              <w:rPr>
                <w:b/>
                <w:sz w:val="22"/>
              </w:rPr>
              <w:t>/ Action To Be Undertaken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460F93" w:rsidRDefault="00460F93" w:rsidP="00797EAC">
            <w:pPr>
              <w:rPr>
                <w:b/>
                <w:sz w:val="22"/>
              </w:rPr>
            </w:pPr>
            <w:r w:rsidRPr="00ED47F5">
              <w:rPr>
                <w:b/>
                <w:sz w:val="22"/>
              </w:rPr>
              <w:t>Lead Officer</w:t>
            </w:r>
            <w:r>
              <w:rPr>
                <w:b/>
                <w:sz w:val="22"/>
              </w:rPr>
              <w:t xml:space="preserve"> and/or</w:t>
            </w:r>
          </w:p>
          <w:p w:rsidR="00460F93" w:rsidRPr="00ED47F5" w:rsidRDefault="00460F93" w:rsidP="00797E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Lead Strategic Group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/>
          </w:tcPr>
          <w:p w:rsidR="00460F93" w:rsidRPr="00ED47F5" w:rsidRDefault="00460F93" w:rsidP="00217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Timescale for Resolution of Negative Impact</w:t>
            </w:r>
            <w:r w:rsidR="00724573">
              <w:rPr>
                <w:b/>
                <w:sz w:val="22"/>
              </w:rPr>
              <w:t xml:space="preserve"> (s) </w:t>
            </w:r>
            <w:r>
              <w:rPr>
                <w:b/>
                <w:sz w:val="22"/>
              </w:rPr>
              <w:t>/ Delivery of Positive Impact</w:t>
            </w:r>
            <w:r w:rsidR="00724573">
              <w:rPr>
                <w:b/>
                <w:sz w:val="22"/>
              </w:rPr>
              <w:t xml:space="preserve"> (s)</w:t>
            </w:r>
          </w:p>
          <w:p w:rsidR="00460F93" w:rsidRPr="00ED47F5" w:rsidRDefault="00460F93" w:rsidP="0021793B">
            <w:pPr>
              <w:rPr>
                <w:b/>
                <w:sz w:val="22"/>
              </w:rPr>
            </w:pPr>
          </w:p>
        </w:tc>
      </w:tr>
      <w:tr w:rsidR="00460F93" w:rsidTr="00E016B3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432" w:type="dxa"/>
            <w:shd w:val="clear" w:color="auto" w:fill="auto"/>
          </w:tcPr>
          <w:p w:rsidR="00DB4A5A" w:rsidRPr="00E016B3" w:rsidRDefault="00FE09C9" w:rsidP="0021793B">
            <w:pPr>
              <w:rPr>
                <w:rFonts w:cs="Arial"/>
                <w:szCs w:val="24"/>
              </w:rPr>
            </w:pPr>
            <w:r w:rsidRPr="00E016B3">
              <w:rPr>
                <w:rFonts w:cs="Arial"/>
                <w:szCs w:val="24"/>
              </w:rPr>
              <w:t>Future monitoring arrangements around the TSF will ensure that a framework for the collection and retention of relevant monitoring information is consistent with building a better picture of impacts for protected characteristics</w:t>
            </w:r>
          </w:p>
          <w:p w:rsidR="00DB4A5A" w:rsidRPr="00E016B3" w:rsidRDefault="00DB4A5A" w:rsidP="0021793B">
            <w:pPr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E09C9" w:rsidRPr="00E016B3" w:rsidRDefault="00FE09C9" w:rsidP="00D864DE">
            <w:pPr>
              <w:rPr>
                <w:rFonts w:cs="Arial"/>
                <w:szCs w:val="24"/>
              </w:rPr>
            </w:pPr>
            <w:r w:rsidRPr="00E016B3">
              <w:rPr>
                <w:rFonts w:cs="Arial"/>
                <w:szCs w:val="24"/>
              </w:rPr>
              <w:t>Community Fund Monitoring Team/ Transitional Fund Monitoring Team</w:t>
            </w:r>
          </w:p>
        </w:tc>
        <w:tc>
          <w:tcPr>
            <w:tcW w:w="6095" w:type="dxa"/>
            <w:shd w:val="clear" w:color="auto" w:fill="auto"/>
          </w:tcPr>
          <w:p w:rsidR="009F48EB" w:rsidRPr="00E016B3" w:rsidRDefault="00D864DE" w:rsidP="00FE09C9">
            <w:pPr>
              <w:rPr>
                <w:rFonts w:cs="Arial"/>
                <w:szCs w:val="24"/>
              </w:rPr>
            </w:pPr>
            <w:r w:rsidRPr="00E016B3">
              <w:rPr>
                <w:rFonts w:cs="Arial"/>
                <w:szCs w:val="24"/>
              </w:rPr>
              <w:t>These are as outlined in the EQIA provided as part of the report on the Glasgow Communities Fund to CAC on 3 September 2020.</w:t>
            </w:r>
          </w:p>
        </w:tc>
      </w:tr>
    </w:tbl>
    <w:p w:rsidR="00CE4FCB" w:rsidRDefault="00CE4FCB" w:rsidP="00FE21D3">
      <w:pPr>
        <w:ind w:firstLine="426"/>
        <w:rPr>
          <w:sz w:val="22"/>
        </w:rPr>
      </w:pPr>
    </w:p>
    <w:p w:rsidR="00CE4FCB" w:rsidRPr="00CE4FCB" w:rsidRDefault="00CE4FCB" w:rsidP="00E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26"/>
        <w:jc w:val="center"/>
        <w:rPr>
          <w:b/>
          <w:sz w:val="36"/>
          <w:szCs w:val="36"/>
        </w:rPr>
      </w:pPr>
      <w:r w:rsidRPr="00CE4FCB">
        <w:rPr>
          <w:b/>
          <w:sz w:val="36"/>
          <w:szCs w:val="36"/>
        </w:rPr>
        <w:t>Public Reporting</w:t>
      </w:r>
    </w:p>
    <w:p w:rsidR="00CE4FCB" w:rsidRDefault="00CE4FCB" w:rsidP="00E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26"/>
        <w:rPr>
          <w:sz w:val="22"/>
        </w:rPr>
      </w:pPr>
    </w:p>
    <w:p w:rsidR="00CE4FCB" w:rsidRDefault="00CE4FCB" w:rsidP="00E0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26"/>
        <w:rPr>
          <w:sz w:val="22"/>
        </w:rPr>
      </w:pPr>
      <w:r>
        <w:rPr>
          <w:sz w:val="22"/>
        </w:rPr>
        <w:t xml:space="preserve">All completed EQIA Screenings are required to be publically available on the </w:t>
      </w:r>
      <w:hyperlink r:id="rId22" w:history="1">
        <w:r w:rsidRPr="00CE4FCB">
          <w:rPr>
            <w:rStyle w:val="Hyperlink"/>
            <w:sz w:val="22"/>
          </w:rPr>
          <w:t>Council EQIA Webpage</w:t>
        </w:r>
      </w:hyperlink>
      <w:r>
        <w:rPr>
          <w:sz w:val="22"/>
        </w:rPr>
        <w:t xml:space="preserve"> once they have been signed off by the relevant manager, and/or Strategic, Policy, or Operational Group. (See </w:t>
      </w:r>
      <w:hyperlink r:id="rId23" w:history="1">
        <w:r w:rsidRPr="00CE4FCB">
          <w:rPr>
            <w:rStyle w:val="Hyperlink"/>
            <w:sz w:val="22"/>
          </w:rPr>
          <w:t>EQIA Guidance</w:t>
        </w:r>
      </w:hyperlink>
      <w:r>
        <w:rPr>
          <w:sz w:val="22"/>
        </w:rPr>
        <w:t>: Pgs. 11-12)</w:t>
      </w:r>
    </w:p>
    <w:p w:rsidR="00CE1909" w:rsidRDefault="00CE1909" w:rsidP="00CE1909">
      <w:pPr>
        <w:rPr>
          <w:sz w:val="22"/>
        </w:rPr>
      </w:pPr>
    </w:p>
    <w:p w:rsidR="00CE1909" w:rsidRPr="00E016B3" w:rsidRDefault="00CE1909" w:rsidP="005272A9">
      <w:pPr>
        <w:pStyle w:val="Heading1"/>
        <w:numPr>
          <w:ilvl w:val="0"/>
          <w:numId w:val="8"/>
        </w:numPr>
        <w:rPr>
          <w:sz w:val="36"/>
          <w:szCs w:val="36"/>
        </w:rPr>
      </w:pPr>
      <w:r w:rsidRPr="00E016B3">
        <w:rPr>
          <w:sz w:val="36"/>
          <w:szCs w:val="36"/>
        </w:rPr>
        <w:t>M</w:t>
      </w:r>
      <w:r w:rsidR="00716EFA" w:rsidRPr="00E016B3">
        <w:rPr>
          <w:sz w:val="36"/>
          <w:szCs w:val="36"/>
        </w:rPr>
        <w:t>ONITORING</w:t>
      </w:r>
      <w:r w:rsidRPr="00E016B3">
        <w:rPr>
          <w:sz w:val="36"/>
          <w:szCs w:val="36"/>
        </w:rPr>
        <w:t xml:space="preserve"> OUTCOMES</w:t>
      </w:r>
      <w:r w:rsidR="00697CBC" w:rsidRPr="00E016B3">
        <w:rPr>
          <w:sz w:val="36"/>
          <w:szCs w:val="36"/>
        </w:rPr>
        <w:t xml:space="preserve">, EVALUATION </w:t>
      </w:r>
      <w:r w:rsidR="005B5549" w:rsidRPr="00E016B3">
        <w:rPr>
          <w:sz w:val="36"/>
          <w:szCs w:val="36"/>
        </w:rPr>
        <w:t>&amp; REVIEW</w:t>
      </w:r>
    </w:p>
    <w:p w:rsidR="00A403D7" w:rsidRPr="00E016B3" w:rsidRDefault="00A403D7" w:rsidP="00A403D7">
      <w:pPr>
        <w:ind w:firstLine="720"/>
        <w:rPr>
          <w:szCs w:val="24"/>
        </w:rPr>
      </w:pPr>
    </w:p>
    <w:p w:rsidR="00CE1909" w:rsidRDefault="00CE1909" w:rsidP="005B5549">
      <w:pPr>
        <w:ind w:left="720"/>
        <w:rPr>
          <w:sz w:val="22"/>
        </w:rPr>
      </w:pPr>
      <w:r>
        <w:rPr>
          <w:sz w:val="22"/>
        </w:rPr>
        <w:t xml:space="preserve">The </w:t>
      </w:r>
      <w:r w:rsidR="005B5549">
        <w:rPr>
          <w:sz w:val="22"/>
        </w:rPr>
        <w:t>E</w:t>
      </w:r>
      <w:r>
        <w:rPr>
          <w:sz w:val="22"/>
        </w:rPr>
        <w:t xml:space="preserve">qualities </w:t>
      </w:r>
      <w:r w:rsidR="005B5549">
        <w:rPr>
          <w:sz w:val="22"/>
        </w:rPr>
        <w:t>I</w:t>
      </w:r>
      <w:r>
        <w:rPr>
          <w:sz w:val="22"/>
        </w:rPr>
        <w:t xml:space="preserve">mpact </w:t>
      </w:r>
      <w:r w:rsidR="005B5549">
        <w:rPr>
          <w:sz w:val="22"/>
        </w:rPr>
        <w:t>A</w:t>
      </w:r>
      <w:r>
        <w:rPr>
          <w:sz w:val="22"/>
        </w:rPr>
        <w:t>ssessment</w:t>
      </w:r>
      <w:r w:rsidR="00ED47F5">
        <w:rPr>
          <w:sz w:val="22"/>
        </w:rPr>
        <w:t xml:space="preserve"> </w:t>
      </w:r>
      <w:r w:rsidR="005B5549">
        <w:rPr>
          <w:sz w:val="22"/>
        </w:rPr>
        <w:t xml:space="preserve">(EQIA) </w:t>
      </w:r>
      <w:r w:rsidR="00ED47F5">
        <w:rPr>
          <w:sz w:val="22"/>
        </w:rPr>
        <w:t>screening</w:t>
      </w:r>
      <w:r>
        <w:rPr>
          <w:sz w:val="22"/>
        </w:rPr>
        <w:t xml:space="preserve"> is not an end in itself but the start of a continuous monitoring and review process.</w:t>
      </w:r>
      <w:r w:rsidR="005B5549">
        <w:rPr>
          <w:sz w:val="22"/>
        </w:rPr>
        <w:t xml:space="preserve"> The relevant Strategic, Policy, or Operational Group responsible for the delivery of </w:t>
      </w:r>
      <w:r w:rsidR="005B5549" w:rsidRPr="005B5549">
        <w:rPr>
          <w:sz w:val="22"/>
        </w:rPr>
        <w:t xml:space="preserve">the </w:t>
      </w:r>
      <w:r w:rsidR="005B5549" w:rsidRPr="005B5549">
        <w:rPr>
          <w:bCs/>
          <w:sz w:val="22"/>
          <w:szCs w:val="28"/>
        </w:rPr>
        <w:t>Policy, Project, Service Reform or Budget Option</w:t>
      </w:r>
      <w:r w:rsidR="005B5549">
        <w:rPr>
          <w:bCs/>
          <w:sz w:val="22"/>
          <w:szCs w:val="28"/>
        </w:rPr>
        <w:t xml:space="preserve">, is also responsible for monitoring and reviewing the EQIA Screening and any actions that may have been take to mitigate impacts. </w:t>
      </w:r>
    </w:p>
    <w:p w:rsidR="00ED47F5" w:rsidRDefault="00ED47F5" w:rsidP="005B5549">
      <w:pPr>
        <w:rPr>
          <w:sz w:val="22"/>
        </w:rPr>
      </w:pPr>
    </w:p>
    <w:p w:rsidR="00CE1909" w:rsidRDefault="00ED47F5" w:rsidP="00E016B3">
      <w:pPr>
        <w:ind w:left="720"/>
        <w:rPr>
          <w:sz w:val="22"/>
        </w:rPr>
      </w:pPr>
      <w:r>
        <w:rPr>
          <w:sz w:val="22"/>
        </w:rPr>
        <w:t>I</w:t>
      </w:r>
      <w:r w:rsidR="00CE1909">
        <w:rPr>
          <w:sz w:val="22"/>
        </w:rPr>
        <w:t xml:space="preserve">ndividual services are responsible for conducting the impact assessment for their area, staff from </w:t>
      </w:r>
      <w:r w:rsidRPr="00ED47F5">
        <w:rPr>
          <w:b/>
          <w:sz w:val="22"/>
        </w:rPr>
        <w:t xml:space="preserve">Corporate Strategic </w:t>
      </w:r>
      <w:r w:rsidR="00CE1909" w:rsidRPr="00ED47F5">
        <w:rPr>
          <w:b/>
          <w:sz w:val="22"/>
        </w:rPr>
        <w:t xml:space="preserve">Policy and </w:t>
      </w:r>
      <w:r w:rsidRPr="00ED47F5">
        <w:rPr>
          <w:b/>
          <w:sz w:val="22"/>
        </w:rPr>
        <w:t>Planning</w:t>
      </w:r>
      <w:r>
        <w:rPr>
          <w:sz w:val="22"/>
        </w:rPr>
        <w:t xml:space="preserve"> </w:t>
      </w:r>
      <w:r w:rsidR="00CE1909">
        <w:rPr>
          <w:sz w:val="22"/>
        </w:rPr>
        <w:t>will be available to provide support and guidance.</w:t>
      </w:r>
    </w:p>
    <w:p w:rsidR="00E016B3" w:rsidRDefault="00E016B3" w:rsidP="00E016B3">
      <w:pPr>
        <w:rPr>
          <w:sz w:val="22"/>
        </w:rPr>
      </w:pPr>
    </w:p>
    <w:p w:rsidR="00781F6A" w:rsidRDefault="00781F6A" w:rsidP="00CE1909">
      <w:pPr>
        <w:rPr>
          <w:sz w:val="22"/>
        </w:rPr>
        <w:sectPr w:rsidR="00781F6A" w:rsidSect="002101EA">
          <w:pgSz w:w="16838" w:h="11906" w:orient="landscape" w:code="9"/>
          <w:pgMar w:top="851" w:right="1440" w:bottom="1135" w:left="851" w:header="720" w:footer="720" w:gutter="0"/>
          <w:cols w:space="720"/>
        </w:sectPr>
      </w:pPr>
    </w:p>
    <w:p w:rsidR="00052239" w:rsidRPr="00CA2835" w:rsidRDefault="00052239" w:rsidP="00052239">
      <w:pPr>
        <w:pStyle w:val="Heading2"/>
        <w:rPr>
          <w:sz w:val="20"/>
        </w:rPr>
      </w:pPr>
      <w:r w:rsidRPr="00CA2835">
        <w:rPr>
          <w:sz w:val="20"/>
        </w:rPr>
        <w:lastRenderedPageBreak/>
        <w:t>Legislation</w:t>
      </w:r>
    </w:p>
    <w:p w:rsidR="00052239" w:rsidRPr="00CA2835" w:rsidRDefault="00052239" w:rsidP="00052239">
      <w:pPr>
        <w:rPr>
          <w:b/>
          <w:color w:val="231F20"/>
          <w:sz w:val="20"/>
          <w:lang w:val="en-US"/>
        </w:rPr>
      </w:pPr>
    </w:p>
    <w:p w:rsidR="00052239" w:rsidRPr="00CA2835" w:rsidRDefault="00052239" w:rsidP="00052239">
      <w:pPr>
        <w:rPr>
          <w:b/>
          <w:sz w:val="20"/>
        </w:rPr>
      </w:pPr>
      <w:r w:rsidRPr="00CA2835">
        <w:rPr>
          <w:b/>
          <w:sz w:val="20"/>
        </w:rPr>
        <w:t>Equality Act (2010) - the Equality Act 2010 (Specific Duties) Scotland Regulations 2012</w:t>
      </w:r>
    </w:p>
    <w:p w:rsidR="00052239" w:rsidRPr="00841B15" w:rsidRDefault="00052239" w:rsidP="00841B15">
      <w:pPr>
        <w:rPr>
          <w:sz w:val="20"/>
        </w:rPr>
      </w:pPr>
      <w:r w:rsidRPr="00841B15">
        <w:rPr>
          <w:sz w:val="20"/>
        </w:rPr>
        <w:t xml:space="preserve">The 2010 Act consolidated previous equalities legislation to protect people from discrimination on grounds of: </w:t>
      </w:r>
    </w:p>
    <w:p w:rsidR="00052239" w:rsidRPr="00CA2835" w:rsidRDefault="00052239" w:rsidP="00052239">
      <w:pPr>
        <w:rPr>
          <w:sz w:val="20"/>
        </w:rPr>
      </w:pP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race</w:t>
      </w:r>
    </w:p>
    <w:p w:rsidR="00A229B4" w:rsidRPr="00CA2835" w:rsidRDefault="00052239" w:rsidP="00A229B4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sex</w:t>
      </w:r>
      <w:r w:rsidR="00A229B4" w:rsidRPr="00CA2835">
        <w:rPr>
          <w:sz w:val="20"/>
        </w:rPr>
        <w:t xml:space="preserve"> </w:t>
      </w:r>
    </w:p>
    <w:p w:rsidR="00052239" w:rsidRPr="00CA2835" w:rsidRDefault="00A229B4" w:rsidP="00A229B4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 xml:space="preserve">being a transsexual person (transsexuality is where someone has changed, is changing or has proposed changing their sex – called ‘gender reassignment’ in law) 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sexual orientation (whether being lesbian, gay, bisexual or heterosexual)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disability (or because of something connected with their disability)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religion or belief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having just had a baby or being pregnant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being married or in a civil partnership, and</w:t>
      </w:r>
    </w:p>
    <w:p w:rsidR="00052239" w:rsidRPr="00CA2835" w:rsidRDefault="00052239" w:rsidP="005272A9">
      <w:pPr>
        <w:numPr>
          <w:ilvl w:val="0"/>
          <w:numId w:val="9"/>
        </w:numPr>
        <w:rPr>
          <w:sz w:val="20"/>
        </w:rPr>
      </w:pPr>
      <w:r w:rsidRPr="00CA2835">
        <w:rPr>
          <w:sz w:val="20"/>
        </w:rPr>
        <w:t>age.</w:t>
      </w:r>
    </w:p>
    <w:p w:rsidR="00052239" w:rsidRPr="00CA2835" w:rsidRDefault="00052239" w:rsidP="00052239">
      <w:pPr>
        <w:rPr>
          <w:sz w:val="20"/>
        </w:rPr>
      </w:pPr>
    </w:p>
    <w:p w:rsidR="00052239" w:rsidRPr="00CA2835" w:rsidRDefault="00052239" w:rsidP="00052239">
      <w:pPr>
        <w:rPr>
          <w:sz w:val="20"/>
        </w:rPr>
      </w:pPr>
      <w:r w:rsidRPr="00CA2835">
        <w:rPr>
          <w:sz w:val="20"/>
        </w:rPr>
        <w:t xml:space="preserve">Further information: </w:t>
      </w:r>
      <w:hyperlink r:id="rId24" w:history="1">
        <w:r w:rsidR="007D5295" w:rsidRPr="00CA2835">
          <w:rPr>
            <w:rStyle w:val="Hyperlink"/>
            <w:sz w:val="20"/>
          </w:rPr>
          <w:t>Equality Act Guidance</w:t>
        </w:r>
      </w:hyperlink>
    </w:p>
    <w:p w:rsidR="00052239" w:rsidRPr="00CA2835" w:rsidRDefault="00052239" w:rsidP="00052239">
      <w:pPr>
        <w:rPr>
          <w:rFonts w:cs="Arial"/>
          <w:sz w:val="20"/>
        </w:rPr>
      </w:pPr>
    </w:p>
    <w:p w:rsidR="00052239" w:rsidRPr="00CA2835" w:rsidRDefault="00052239" w:rsidP="00052239">
      <w:pPr>
        <w:rPr>
          <w:rFonts w:cs="Arial"/>
          <w:sz w:val="20"/>
        </w:rPr>
      </w:pPr>
      <w:r w:rsidRPr="00CA2835">
        <w:rPr>
          <w:rFonts w:cs="Arial"/>
          <w:sz w:val="20"/>
        </w:rPr>
        <w:t xml:space="preserve">As noted the Equality Act 2010 simplifies the current laws and puts them all together in one piece of legislation. In addition the </w:t>
      </w:r>
      <w:r w:rsidRPr="00CA2835">
        <w:rPr>
          <w:b/>
          <w:sz w:val="20"/>
        </w:rPr>
        <w:t xml:space="preserve">Specific Duties (Scotland Regulations 2012) </w:t>
      </w:r>
      <w:r w:rsidRPr="00CA2835">
        <w:rPr>
          <w:rFonts w:cs="Arial"/>
          <w:sz w:val="20"/>
          <w:lang w:val="en"/>
        </w:rPr>
        <w:t>require local authorities to do the following to enable better performance of the general equality duty:</w:t>
      </w:r>
    </w:p>
    <w:p w:rsidR="00052239" w:rsidRPr="00CA2835" w:rsidRDefault="00052239" w:rsidP="00052239">
      <w:pPr>
        <w:rPr>
          <w:rFonts w:cs="Arial"/>
          <w:sz w:val="20"/>
          <w:lang w:val="en"/>
        </w:rPr>
      </w:pPr>
    </w:p>
    <w:p w:rsidR="00052239" w:rsidRPr="00CA2835" w:rsidRDefault="00052239" w:rsidP="005272A9">
      <w:pPr>
        <w:numPr>
          <w:ilvl w:val="0"/>
          <w:numId w:val="10"/>
        </w:numPr>
        <w:rPr>
          <w:sz w:val="20"/>
        </w:rPr>
      </w:pPr>
      <w:r w:rsidRPr="00CA2835">
        <w:rPr>
          <w:sz w:val="20"/>
        </w:rPr>
        <w:t>report progress on mainstreaming the general equality duty</w:t>
      </w:r>
    </w:p>
    <w:p w:rsidR="00052239" w:rsidRPr="00CA2835" w:rsidRDefault="00052239" w:rsidP="005272A9">
      <w:pPr>
        <w:numPr>
          <w:ilvl w:val="0"/>
          <w:numId w:val="10"/>
        </w:numPr>
        <w:rPr>
          <w:sz w:val="20"/>
        </w:rPr>
      </w:pPr>
      <w:r w:rsidRPr="00CA2835">
        <w:rPr>
          <w:sz w:val="20"/>
        </w:rPr>
        <w:t>publish equality outcomes and report progress in meeting those</w:t>
      </w:r>
    </w:p>
    <w:p w:rsidR="00052239" w:rsidRPr="00CA2835" w:rsidRDefault="00052239" w:rsidP="005272A9">
      <w:pPr>
        <w:numPr>
          <w:ilvl w:val="0"/>
          <w:numId w:val="10"/>
        </w:numPr>
        <w:rPr>
          <w:sz w:val="20"/>
        </w:rPr>
      </w:pPr>
      <w:r w:rsidRPr="00CA2835">
        <w:rPr>
          <w:sz w:val="20"/>
        </w:rPr>
        <w:t>impact assess new or revised policies and practices as well as making arrangements to review existing policies and practices</w:t>
      </w:r>
      <w:r w:rsidRPr="00CA2835">
        <w:rPr>
          <w:sz w:val="20"/>
        </w:rPr>
        <w:br/>
        <w:t>gather, use and publish employee information</w:t>
      </w:r>
    </w:p>
    <w:p w:rsidR="00052239" w:rsidRPr="00CA2835" w:rsidRDefault="00052239" w:rsidP="005272A9">
      <w:pPr>
        <w:numPr>
          <w:ilvl w:val="0"/>
          <w:numId w:val="10"/>
        </w:numPr>
        <w:rPr>
          <w:sz w:val="20"/>
        </w:rPr>
      </w:pPr>
      <w:r w:rsidRPr="00CA2835">
        <w:rPr>
          <w:sz w:val="20"/>
        </w:rPr>
        <w:t>publish gender pay gap information and an equal pay statement</w:t>
      </w:r>
    </w:p>
    <w:p w:rsidR="00052239" w:rsidRPr="00CA2835" w:rsidRDefault="00052239" w:rsidP="005272A9">
      <w:pPr>
        <w:numPr>
          <w:ilvl w:val="0"/>
          <w:numId w:val="10"/>
        </w:numPr>
        <w:rPr>
          <w:sz w:val="20"/>
        </w:rPr>
      </w:pPr>
      <w:r w:rsidRPr="00CA2835">
        <w:rPr>
          <w:sz w:val="20"/>
        </w:rPr>
        <w:t>consider adding equality award criteria and contract conditions in public procurement exercises.</w:t>
      </w:r>
    </w:p>
    <w:p w:rsidR="00052239" w:rsidRPr="00CA2835" w:rsidRDefault="00052239" w:rsidP="00052239">
      <w:pPr>
        <w:rPr>
          <w:sz w:val="20"/>
        </w:rPr>
      </w:pPr>
    </w:p>
    <w:p w:rsidR="00052239" w:rsidRPr="00CA2835" w:rsidRDefault="00052239" w:rsidP="00052239">
      <w:pPr>
        <w:rPr>
          <w:sz w:val="20"/>
        </w:rPr>
      </w:pPr>
      <w:r w:rsidRPr="00CA2835">
        <w:rPr>
          <w:sz w:val="20"/>
        </w:rPr>
        <w:t xml:space="preserve">Further information: </w:t>
      </w:r>
      <w:hyperlink r:id="rId25" w:history="1">
        <w:r w:rsidR="007D5295" w:rsidRPr="00CA2835">
          <w:rPr>
            <w:rStyle w:val="Hyperlink"/>
            <w:sz w:val="20"/>
          </w:rPr>
          <w:t>Understanding Scottish Specific Public Sector Equality Duties</w:t>
        </w:r>
      </w:hyperlink>
    </w:p>
    <w:p w:rsidR="00052239" w:rsidRPr="00CA2835" w:rsidRDefault="00052239" w:rsidP="00052239">
      <w:pPr>
        <w:rPr>
          <w:sz w:val="20"/>
        </w:rPr>
      </w:pPr>
    </w:p>
    <w:p w:rsidR="00CA2835" w:rsidRDefault="00CA2835" w:rsidP="00052239">
      <w:pPr>
        <w:rPr>
          <w:b/>
          <w:sz w:val="20"/>
        </w:rPr>
      </w:pPr>
    </w:p>
    <w:p w:rsidR="007D5295" w:rsidRPr="00CA2835" w:rsidRDefault="00CA2835" w:rsidP="00052239">
      <w:pPr>
        <w:rPr>
          <w:b/>
          <w:sz w:val="20"/>
        </w:rPr>
      </w:pPr>
      <w:r w:rsidRPr="00CA2835">
        <w:rPr>
          <w:b/>
          <w:sz w:val="20"/>
        </w:rPr>
        <w:t>Fairer Scotland Duty</w:t>
      </w:r>
    </w:p>
    <w:p w:rsidR="00CA2835" w:rsidRDefault="00CA2835" w:rsidP="00052239">
      <w:pPr>
        <w:rPr>
          <w:sz w:val="20"/>
        </w:rPr>
      </w:pPr>
      <w:r>
        <w:rPr>
          <w:sz w:val="20"/>
        </w:rPr>
        <w:t xml:space="preserve">Authorities should also consider Socio-Economic Impacts where appropriate.  Further information: </w:t>
      </w:r>
      <w:hyperlink r:id="rId26" w:history="1">
        <w:r w:rsidRPr="00CA2835">
          <w:rPr>
            <w:rStyle w:val="Hyperlink"/>
            <w:sz w:val="20"/>
          </w:rPr>
          <w:t>Fairer Scotland Duty Interim Guidance</w:t>
        </w:r>
      </w:hyperlink>
    </w:p>
    <w:p w:rsidR="00CA2835" w:rsidRDefault="00CA2835" w:rsidP="00052239">
      <w:pPr>
        <w:rPr>
          <w:b/>
          <w:sz w:val="20"/>
        </w:rPr>
      </w:pPr>
    </w:p>
    <w:p w:rsidR="00CA2835" w:rsidRDefault="00CA2835" w:rsidP="00052239">
      <w:pPr>
        <w:rPr>
          <w:b/>
          <w:sz w:val="20"/>
        </w:rPr>
      </w:pPr>
    </w:p>
    <w:p w:rsidR="00B25BF3" w:rsidRPr="00CA2835" w:rsidRDefault="00052239" w:rsidP="00052239">
      <w:pPr>
        <w:rPr>
          <w:sz w:val="20"/>
        </w:rPr>
      </w:pPr>
      <w:r w:rsidRPr="00CA2835">
        <w:rPr>
          <w:b/>
          <w:sz w:val="20"/>
        </w:rPr>
        <w:t>Enforcement</w:t>
      </w:r>
      <w:r w:rsidRPr="00CA2835">
        <w:rPr>
          <w:sz w:val="20"/>
        </w:rPr>
        <w:br/>
        <w:t>Judicial review of an authority can be taken by any person, including the Equality and Human Rights Commission (EHRC) or a group of people, with an interest, in respect of alleged failure to comply with the general equality duty.  Only the EHRC can enforce the specific duties.   A failure to comply with the specific duties may however be used as evidence of a failure to comply with the general duty.</w:t>
      </w:r>
    </w:p>
    <w:sectPr w:rsidR="00B25BF3" w:rsidRPr="00CA2835" w:rsidSect="002101EA">
      <w:pgSz w:w="16838" w:h="11906" w:orient="landscape" w:code="9"/>
      <w:pgMar w:top="851" w:right="1178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E9" w:rsidRDefault="00D11BE9">
      <w:r>
        <w:separator/>
      </w:r>
    </w:p>
  </w:endnote>
  <w:endnote w:type="continuationSeparator" w:id="0">
    <w:p w:rsidR="00D11BE9" w:rsidRDefault="00D1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B9" w:rsidRDefault="0012266C" w:rsidP="0012266C">
    <w:pPr>
      <w:pStyle w:val="Footer"/>
      <w:jc w:val="center"/>
    </w:pPr>
    <w:fldSimple w:instr=" DOCPROPERTY bjFooterEvenPageDocProperty \* MERGEFORMAT " w:fldLock="1">
      <w:r w:rsidRPr="0012266C">
        <w:rPr>
          <w:rFonts w:cs="Arial"/>
          <w:b/>
          <w:color w:val="000000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B9" w:rsidRDefault="0012266C" w:rsidP="0012266C">
    <w:pPr>
      <w:pStyle w:val="Footer"/>
      <w:jc w:val="center"/>
      <w:rPr>
        <w:snapToGrid w:val="0"/>
        <w:sz w:val="16"/>
      </w:rPr>
    </w:pPr>
    <w:r>
      <w:rPr>
        <w:snapToGrid w:val="0"/>
        <w:sz w:val="16"/>
      </w:rPr>
      <w:fldChar w:fldCharType="begin" w:fldLock="1"/>
    </w:r>
    <w:r>
      <w:rPr>
        <w:snapToGrid w:val="0"/>
        <w:sz w:val="16"/>
      </w:rPr>
      <w:instrText xml:space="preserve"> DOCPROPERTY bjFooterBothDocProperty \* MERGEFORMAT </w:instrText>
    </w:r>
    <w:r>
      <w:rPr>
        <w:snapToGrid w:val="0"/>
        <w:sz w:val="16"/>
      </w:rPr>
      <w:fldChar w:fldCharType="separate"/>
    </w:r>
    <w:r w:rsidRPr="0012266C">
      <w:rPr>
        <w:rFonts w:cs="Arial"/>
        <w:b/>
        <w:snapToGrid w:val="0"/>
        <w:color w:val="000000"/>
      </w:rPr>
      <w:t>OFFICIAL</w:t>
    </w:r>
    <w:r>
      <w:rPr>
        <w:snapToGrid w:val="0"/>
        <w:sz w:val="16"/>
      </w:rPr>
      <w:fldChar w:fldCharType="end"/>
    </w:r>
  </w:p>
  <w:p w:rsidR="00797EAC" w:rsidRDefault="00797EAC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37185D">
      <w:rPr>
        <w:noProof/>
        <w:snapToGrid w:val="0"/>
        <w:sz w:val="16"/>
      </w:rPr>
      <w:t>\\cpfpsclc01fs\MyDocs$\quinnc\Documents\Desktop\Equalities\EQIA\Equality Screening Form March 2019 Training draft.doc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3" w:rsidRDefault="00E01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E9" w:rsidRDefault="00D11BE9">
      <w:r>
        <w:separator/>
      </w:r>
    </w:p>
  </w:footnote>
  <w:footnote w:type="continuationSeparator" w:id="0">
    <w:p w:rsidR="00D11BE9" w:rsidRDefault="00D1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B9" w:rsidRDefault="0012266C" w:rsidP="0012266C">
    <w:pPr>
      <w:pStyle w:val="Header"/>
      <w:jc w:val="center"/>
    </w:pPr>
    <w:fldSimple w:instr=" DOCPROPERTY bjHeaderEvenPageDocProperty \* MERGEFORMAT " w:fldLock="1">
      <w:r w:rsidRPr="0012266C">
        <w:rPr>
          <w:rFonts w:cs="Arial"/>
          <w:b/>
          <w:color w:val="000000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B9" w:rsidRDefault="0012266C" w:rsidP="0012266C">
    <w:pPr>
      <w:pStyle w:val="Header"/>
      <w:tabs>
        <w:tab w:val="left" w:pos="825"/>
        <w:tab w:val="right" w:pos="14547"/>
      </w:tabs>
      <w:jc w:val="center"/>
      <w:rPr>
        <w:b/>
        <w:noProof/>
      </w:rPr>
    </w:pPr>
    <w:r>
      <w:rPr>
        <w:b/>
        <w:noProof/>
      </w:rPr>
      <w:fldChar w:fldCharType="begin" w:fldLock="1"/>
    </w:r>
    <w:r>
      <w:rPr>
        <w:b/>
        <w:noProof/>
      </w:rPr>
      <w:instrText xml:space="preserve"> DOCPROPERTY bjHeaderBothDocProperty \* MERGEFORMAT </w:instrText>
    </w:r>
    <w:r>
      <w:rPr>
        <w:b/>
        <w:noProof/>
      </w:rPr>
      <w:fldChar w:fldCharType="separate"/>
    </w:r>
    <w:r w:rsidRPr="0012266C">
      <w:rPr>
        <w:rFonts w:cs="Arial"/>
        <w:b/>
        <w:noProof/>
        <w:color w:val="000000"/>
      </w:rPr>
      <w:t>OFFICIAL</w:t>
    </w:r>
    <w:r>
      <w:rPr>
        <w:b/>
        <w:noProof/>
      </w:rPr>
      <w:fldChar w:fldCharType="end"/>
    </w:r>
  </w:p>
  <w:p w:rsidR="00797EAC" w:rsidRDefault="00797EAC" w:rsidP="00841B15">
    <w:pPr>
      <w:pStyle w:val="Header"/>
      <w:tabs>
        <w:tab w:val="left" w:pos="825"/>
        <w:tab w:val="right" w:pos="14547"/>
      </w:tabs>
      <w:jc w:val="right"/>
      <w:rPr>
        <w:b/>
      </w:rPr>
    </w:pPr>
    <w:r>
      <w:rPr>
        <w:b/>
        <w:noProof/>
      </w:rPr>
      <w:t>EQIA Screening Form</w:t>
    </w:r>
  </w:p>
  <w:p w:rsidR="00797EAC" w:rsidRPr="00841B15" w:rsidRDefault="00797EAC" w:rsidP="00CE2D80">
    <w:pPr>
      <w:pStyle w:val="Header"/>
      <w:jc w:val="right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3" w:rsidRDefault="00E01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C2"/>
    <w:multiLevelType w:val="hybridMultilevel"/>
    <w:tmpl w:val="3DA2BC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43A"/>
    <w:multiLevelType w:val="hybridMultilevel"/>
    <w:tmpl w:val="B04CDCC4"/>
    <w:lvl w:ilvl="0" w:tplc="080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B922179"/>
    <w:multiLevelType w:val="hybridMultilevel"/>
    <w:tmpl w:val="CC3C92E4"/>
    <w:lvl w:ilvl="0" w:tplc="0809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2796939"/>
    <w:multiLevelType w:val="hybridMultilevel"/>
    <w:tmpl w:val="614E8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25534"/>
    <w:multiLevelType w:val="hybridMultilevel"/>
    <w:tmpl w:val="F2D0A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345E5"/>
    <w:multiLevelType w:val="hybridMultilevel"/>
    <w:tmpl w:val="A168C09C"/>
    <w:lvl w:ilvl="0" w:tplc="254E9F26">
      <w:start w:val="1"/>
      <w:numFmt w:val="decimal"/>
      <w:lvlText w:val="Step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C1B35"/>
    <w:multiLevelType w:val="hybridMultilevel"/>
    <w:tmpl w:val="E56288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8784"/>
    <w:multiLevelType w:val="hybridMultilevel"/>
    <w:tmpl w:val="F1A9F9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9472B3"/>
    <w:multiLevelType w:val="hybridMultilevel"/>
    <w:tmpl w:val="C45CB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D5D8B"/>
    <w:multiLevelType w:val="hybridMultilevel"/>
    <w:tmpl w:val="D56AC2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7F53"/>
    <w:multiLevelType w:val="hybridMultilevel"/>
    <w:tmpl w:val="BC849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79"/>
    <w:multiLevelType w:val="hybridMultilevel"/>
    <w:tmpl w:val="58F4E2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150C6"/>
    <w:multiLevelType w:val="hybridMultilevel"/>
    <w:tmpl w:val="2A9E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730CF"/>
    <w:multiLevelType w:val="hybridMultilevel"/>
    <w:tmpl w:val="79B8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3B9C"/>
    <w:multiLevelType w:val="hybridMultilevel"/>
    <w:tmpl w:val="033A19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7283D"/>
    <w:multiLevelType w:val="hybridMultilevel"/>
    <w:tmpl w:val="4DDEA744"/>
    <w:lvl w:ilvl="0" w:tplc="254E9F26">
      <w:start w:val="1"/>
      <w:numFmt w:val="decimal"/>
      <w:lvlText w:val="Step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94BA1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F83D9F"/>
    <w:multiLevelType w:val="hybridMultilevel"/>
    <w:tmpl w:val="BE122F22"/>
    <w:lvl w:ilvl="0" w:tplc="143EF8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1D58D3"/>
    <w:multiLevelType w:val="hybridMultilevel"/>
    <w:tmpl w:val="D9B0C7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03ED2"/>
    <w:multiLevelType w:val="hybridMultilevel"/>
    <w:tmpl w:val="8272B0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51D34"/>
    <w:multiLevelType w:val="hybridMultilevel"/>
    <w:tmpl w:val="2AE2675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B04AD"/>
    <w:multiLevelType w:val="hybridMultilevel"/>
    <w:tmpl w:val="271808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068A4"/>
    <w:multiLevelType w:val="hybridMultilevel"/>
    <w:tmpl w:val="DE1ED4C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D4DB0"/>
    <w:multiLevelType w:val="hybridMultilevel"/>
    <w:tmpl w:val="2DCC7A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7754BB"/>
    <w:multiLevelType w:val="hybridMultilevel"/>
    <w:tmpl w:val="B3F085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877B4"/>
    <w:multiLevelType w:val="hybridMultilevel"/>
    <w:tmpl w:val="DF7409F0"/>
    <w:lvl w:ilvl="0" w:tplc="254E9F26">
      <w:start w:val="1"/>
      <w:numFmt w:val="decimal"/>
      <w:lvlText w:val="Step 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1"/>
  </w:num>
  <w:num w:numId="5">
    <w:abstractNumId w:val="7"/>
  </w:num>
  <w:num w:numId="6">
    <w:abstractNumId w:val="17"/>
  </w:num>
  <w:num w:numId="7">
    <w:abstractNumId w:val="8"/>
  </w:num>
  <w:num w:numId="8">
    <w:abstractNumId w:val="16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22"/>
  </w:num>
  <w:num w:numId="14">
    <w:abstractNumId w:val="24"/>
  </w:num>
  <w:num w:numId="15">
    <w:abstractNumId w:val="14"/>
  </w:num>
  <w:num w:numId="16">
    <w:abstractNumId w:val="13"/>
  </w:num>
  <w:num w:numId="17">
    <w:abstractNumId w:val="20"/>
  </w:num>
  <w:num w:numId="18">
    <w:abstractNumId w:val="6"/>
  </w:num>
  <w:num w:numId="19">
    <w:abstractNumId w:val="12"/>
  </w:num>
  <w:num w:numId="20">
    <w:abstractNumId w:val="18"/>
  </w:num>
  <w:num w:numId="21">
    <w:abstractNumId w:val="23"/>
  </w:num>
  <w:num w:numId="22">
    <w:abstractNumId w:val="0"/>
  </w:num>
  <w:num w:numId="23">
    <w:abstractNumId w:val="3"/>
  </w:num>
  <w:num w:numId="24">
    <w:abstractNumId w:val="9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F3"/>
    <w:rsid w:val="000068C3"/>
    <w:rsid w:val="00052239"/>
    <w:rsid w:val="00053F44"/>
    <w:rsid w:val="00063F60"/>
    <w:rsid w:val="000706CA"/>
    <w:rsid w:val="00073CFF"/>
    <w:rsid w:val="00077E39"/>
    <w:rsid w:val="00085E32"/>
    <w:rsid w:val="0008624C"/>
    <w:rsid w:val="0008714A"/>
    <w:rsid w:val="00087C6A"/>
    <w:rsid w:val="0009480A"/>
    <w:rsid w:val="000B6735"/>
    <w:rsid w:val="000E4CA3"/>
    <w:rsid w:val="000F0870"/>
    <w:rsid w:val="000F0C7E"/>
    <w:rsid w:val="00104987"/>
    <w:rsid w:val="001107FC"/>
    <w:rsid w:val="00114156"/>
    <w:rsid w:val="001163BD"/>
    <w:rsid w:val="0012266C"/>
    <w:rsid w:val="0013508F"/>
    <w:rsid w:val="0015074D"/>
    <w:rsid w:val="00163A6F"/>
    <w:rsid w:val="00164CBF"/>
    <w:rsid w:val="0016790C"/>
    <w:rsid w:val="00171C8D"/>
    <w:rsid w:val="00176181"/>
    <w:rsid w:val="00177E1F"/>
    <w:rsid w:val="001816F7"/>
    <w:rsid w:val="00183998"/>
    <w:rsid w:val="001B171C"/>
    <w:rsid w:val="001C5F12"/>
    <w:rsid w:val="001C7E75"/>
    <w:rsid w:val="001D4004"/>
    <w:rsid w:val="001D7F58"/>
    <w:rsid w:val="002101EA"/>
    <w:rsid w:val="0021793B"/>
    <w:rsid w:val="002209C3"/>
    <w:rsid w:val="00225422"/>
    <w:rsid w:val="00241FE7"/>
    <w:rsid w:val="00246BB5"/>
    <w:rsid w:val="00250147"/>
    <w:rsid w:val="00273AF0"/>
    <w:rsid w:val="002758C9"/>
    <w:rsid w:val="00275D4A"/>
    <w:rsid w:val="0029498D"/>
    <w:rsid w:val="002A0098"/>
    <w:rsid w:val="002A4E78"/>
    <w:rsid w:val="002B31B4"/>
    <w:rsid w:val="002B66F4"/>
    <w:rsid w:val="002C0B4C"/>
    <w:rsid w:val="002D10C9"/>
    <w:rsid w:val="002F241A"/>
    <w:rsid w:val="00325E1D"/>
    <w:rsid w:val="003358CC"/>
    <w:rsid w:val="00340934"/>
    <w:rsid w:val="003426B7"/>
    <w:rsid w:val="00345766"/>
    <w:rsid w:val="00346502"/>
    <w:rsid w:val="00352B4A"/>
    <w:rsid w:val="0036175C"/>
    <w:rsid w:val="00362564"/>
    <w:rsid w:val="00366C2C"/>
    <w:rsid w:val="0037185D"/>
    <w:rsid w:val="00374DBE"/>
    <w:rsid w:val="00381A23"/>
    <w:rsid w:val="0038355C"/>
    <w:rsid w:val="00391371"/>
    <w:rsid w:val="003B6B67"/>
    <w:rsid w:val="003B7FAA"/>
    <w:rsid w:val="003C5904"/>
    <w:rsid w:val="003D1827"/>
    <w:rsid w:val="003E6EE9"/>
    <w:rsid w:val="003F1DCB"/>
    <w:rsid w:val="00400A19"/>
    <w:rsid w:val="00405005"/>
    <w:rsid w:val="00412050"/>
    <w:rsid w:val="00421B3D"/>
    <w:rsid w:val="004309F5"/>
    <w:rsid w:val="00434203"/>
    <w:rsid w:val="00460F93"/>
    <w:rsid w:val="00471B2B"/>
    <w:rsid w:val="00473766"/>
    <w:rsid w:val="00477D19"/>
    <w:rsid w:val="004839F1"/>
    <w:rsid w:val="00495082"/>
    <w:rsid w:val="00496CF3"/>
    <w:rsid w:val="004A5DD7"/>
    <w:rsid w:val="004B614C"/>
    <w:rsid w:val="004C043C"/>
    <w:rsid w:val="004C2554"/>
    <w:rsid w:val="004C4067"/>
    <w:rsid w:val="004C6B7A"/>
    <w:rsid w:val="00505CF9"/>
    <w:rsid w:val="0051416E"/>
    <w:rsid w:val="00515712"/>
    <w:rsid w:val="0052689E"/>
    <w:rsid w:val="00527188"/>
    <w:rsid w:val="005272A9"/>
    <w:rsid w:val="00527358"/>
    <w:rsid w:val="00530518"/>
    <w:rsid w:val="00532567"/>
    <w:rsid w:val="005427A5"/>
    <w:rsid w:val="0054365E"/>
    <w:rsid w:val="005510D1"/>
    <w:rsid w:val="00572578"/>
    <w:rsid w:val="00572612"/>
    <w:rsid w:val="0057452E"/>
    <w:rsid w:val="0057787F"/>
    <w:rsid w:val="00581ED9"/>
    <w:rsid w:val="00591E22"/>
    <w:rsid w:val="00592EBA"/>
    <w:rsid w:val="00595C1B"/>
    <w:rsid w:val="005970A8"/>
    <w:rsid w:val="005A16AE"/>
    <w:rsid w:val="005B4936"/>
    <w:rsid w:val="005B4DBA"/>
    <w:rsid w:val="005B5549"/>
    <w:rsid w:val="005E5A56"/>
    <w:rsid w:val="005F3BDB"/>
    <w:rsid w:val="00603CCF"/>
    <w:rsid w:val="00605421"/>
    <w:rsid w:val="00612995"/>
    <w:rsid w:val="00613521"/>
    <w:rsid w:val="006143BD"/>
    <w:rsid w:val="00614A88"/>
    <w:rsid w:val="00622D3D"/>
    <w:rsid w:val="0062562D"/>
    <w:rsid w:val="00633695"/>
    <w:rsid w:val="006408DF"/>
    <w:rsid w:val="006512DD"/>
    <w:rsid w:val="00651D53"/>
    <w:rsid w:val="00661081"/>
    <w:rsid w:val="00662EB4"/>
    <w:rsid w:val="00665243"/>
    <w:rsid w:val="006714F6"/>
    <w:rsid w:val="00674DF3"/>
    <w:rsid w:val="00681070"/>
    <w:rsid w:val="00684D85"/>
    <w:rsid w:val="00697CBC"/>
    <w:rsid w:val="006A6F61"/>
    <w:rsid w:val="006B4042"/>
    <w:rsid w:val="006D3284"/>
    <w:rsid w:val="006F340C"/>
    <w:rsid w:val="0070176D"/>
    <w:rsid w:val="00702265"/>
    <w:rsid w:val="007073B2"/>
    <w:rsid w:val="00711922"/>
    <w:rsid w:val="00716EFA"/>
    <w:rsid w:val="00724573"/>
    <w:rsid w:val="00726CB5"/>
    <w:rsid w:val="00731DA5"/>
    <w:rsid w:val="0073629D"/>
    <w:rsid w:val="00737DEA"/>
    <w:rsid w:val="00746581"/>
    <w:rsid w:val="00757AEE"/>
    <w:rsid w:val="00763FD0"/>
    <w:rsid w:val="00765A32"/>
    <w:rsid w:val="007672DC"/>
    <w:rsid w:val="007674AE"/>
    <w:rsid w:val="00772287"/>
    <w:rsid w:val="0078155B"/>
    <w:rsid w:val="00781A47"/>
    <w:rsid w:val="00781F6A"/>
    <w:rsid w:val="00796E46"/>
    <w:rsid w:val="00797CEA"/>
    <w:rsid w:val="00797EAC"/>
    <w:rsid w:val="007A7F69"/>
    <w:rsid w:val="007D5295"/>
    <w:rsid w:val="007D6111"/>
    <w:rsid w:val="007F1170"/>
    <w:rsid w:val="00805216"/>
    <w:rsid w:val="00811E59"/>
    <w:rsid w:val="00812CE8"/>
    <w:rsid w:val="008131A9"/>
    <w:rsid w:val="008170D5"/>
    <w:rsid w:val="00825102"/>
    <w:rsid w:val="00827005"/>
    <w:rsid w:val="008332BF"/>
    <w:rsid w:val="008412C8"/>
    <w:rsid w:val="00841B15"/>
    <w:rsid w:val="00867152"/>
    <w:rsid w:val="00874EAF"/>
    <w:rsid w:val="00876C72"/>
    <w:rsid w:val="008832A9"/>
    <w:rsid w:val="0088357C"/>
    <w:rsid w:val="00885D91"/>
    <w:rsid w:val="0089298E"/>
    <w:rsid w:val="00894F47"/>
    <w:rsid w:val="0089518D"/>
    <w:rsid w:val="00895318"/>
    <w:rsid w:val="008A731C"/>
    <w:rsid w:val="008C2BCD"/>
    <w:rsid w:val="008F29C4"/>
    <w:rsid w:val="00910641"/>
    <w:rsid w:val="00926AD4"/>
    <w:rsid w:val="00927671"/>
    <w:rsid w:val="00927742"/>
    <w:rsid w:val="00935838"/>
    <w:rsid w:val="009410B0"/>
    <w:rsid w:val="0095563E"/>
    <w:rsid w:val="00961760"/>
    <w:rsid w:val="00971736"/>
    <w:rsid w:val="00972E56"/>
    <w:rsid w:val="00977EAB"/>
    <w:rsid w:val="00981B6F"/>
    <w:rsid w:val="009836B8"/>
    <w:rsid w:val="00996D71"/>
    <w:rsid w:val="009A1905"/>
    <w:rsid w:val="009A41FC"/>
    <w:rsid w:val="009B7CF5"/>
    <w:rsid w:val="009C3E99"/>
    <w:rsid w:val="009C4418"/>
    <w:rsid w:val="009E2B43"/>
    <w:rsid w:val="009E6CD9"/>
    <w:rsid w:val="009F48EB"/>
    <w:rsid w:val="009F73B4"/>
    <w:rsid w:val="009F7E8E"/>
    <w:rsid w:val="00A007F2"/>
    <w:rsid w:val="00A205AB"/>
    <w:rsid w:val="00A229B4"/>
    <w:rsid w:val="00A31340"/>
    <w:rsid w:val="00A403D7"/>
    <w:rsid w:val="00A4185A"/>
    <w:rsid w:val="00A56096"/>
    <w:rsid w:val="00A67987"/>
    <w:rsid w:val="00A67C25"/>
    <w:rsid w:val="00A70B46"/>
    <w:rsid w:val="00A71094"/>
    <w:rsid w:val="00A86BA8"/>
    <w:rsid w:val="00AB0BF9"/>
    <w:rsid w:val="00AB7CA7"/>
    <w:rsid w:val="00AD0BF5"/>
    <w:rsid w:val="00AE31B6"/>
    <w:rsid w:val="00AE3AAF"/>
    <w:rsid w:val="00AE6477"/>
    <w:rsid w:val="00AE6831"/>
    <w:rsid w:val="00AE7B14"/>
    <w:rsid w:val="00AF3C5C"/>
    <w:rsid w:val="00B021C3"/>
    <w:rsid w:val="00B04CFA"/>
    <w:rsid w:val="00B07F00"/>
    <w:rsid w:val="00B155CD"/>
    <w:rsid w:val="00B203B1"/>
    <w:rsid w:val="00B25BF3"/>
    <w:rsid w:val="00B30107"/>
    <w:rsid w:val="00B37596"/>
    <w:rsid w:val="00B45129"/>
    <w:rsid w:val="00B52761"/>
    <w:rsid w:val="00B55E10"/>
    <w:rsid w:val="00B670FD"/>
    <w:rsid w:val="00B70128"/>
    <w:rsid w:val="00B80CC7"/>
    <w:rsid w:val="00BA2C9A"/>
    <w:rsid w:val="00BA61E4"/>
    <w:rsid w:val="00BB3136"/>
    <w:rsid w:val="00BC1931"/>
    <w:rsid w:val="00BC52EF"/>
    <w:rsid w:val="00BE5FDB"/>
    <w:rsid w:val="00BE6333"/>
    <w:rsid w:val="00BF402D"/>
    <w:rsid w:val="00C1663B"/>
    <w:rsid w:val="00C2635A"/>
    <w:rsid w:val="00C323CB"/>
    <w:rsid w:val="00C35684"/>
    <w:rsid w:val="00C41151"/>
    <w:rsid w:val="00C4573C"/>
    <w:rsid w:val="00C5294C"/>
    <w:rsid w:val="00C7276E"/>
    <w:rsid w:val="00C72819"/>
    <w:rsid w:val="00C82650"/>
    <w:rsid w:val="00C87613"/>
    <w:rsid w:val="00C91676"/>
    <w:rsid w:val="00C9413F"/>
    <w:rsid w:val="00C9528E"/>
    <w:rsid w:val="00CA032A"/>
    <w:rsid w:val="00CA2835"/>
    <w:rsid w:val="00CB456B"/>
    <w:rsid w:val="00CC2818"/>
    <w:rsid w:val="00CC2D1C"/>
    <w:rsid w:val="00CC555C"/>
    <w:rsid w:val="00CD4B48"/>
    <w:rsid w:val="00CD4FA1"/>
    <w:rsid w:val="00CD7794"/>
    <w:rsid w:val="00CE1909"/>
    <w:rsid w:val="00CE1ACE"/>
    <w:rsid w:val="00CE1EF6"/>
    <w:rsid w:val="00CE2D80"/>
    <w:rsid w:val="00CE4FCB"/>
    <w:rsid w:val="00CF2D5B"/>
    <w:rsid w:val="00D11BE9"/>
    <w:rsid w:val="00D12FA3"/>
    <w:rsid w:val="00D31128"/>
    <w:rsid w:val="00D376F2"/>
    <w:rsid w:val="00D41C56"/>
    <w:rsid w:val="00D468E8"/>
    <w:rsid w:val="00D5505F"/>
    <w:rsid w:val="00D55226"/>
    <w:rsid w:val="00D70CD6"/>
    <w:rsid w:val="00D71B6A"/>
    <w:rsid w:val="00D82AF9"/>
    <w:rsid w:val="00D864DE"/>
    <w:rsid w:val="00D93365"/>
    <w:rsid w:val="00D968F8"/>
    <w:rsid w:val="00DA5C7C"/>
    <w:rsid w:val="00DA627A"/>
    <w:rsid w:val="00DB2FDE"/>
    <w:rsid w:val="00DB4A5A"/>
    <w:rsid w:val="00DC3B3E"/>
    <w:rsid w:val="00DC7A9E"/>
    <w:rsid w:val="00DD1AAA"/>
    <w:rsid w:val="00DE1DDE"/>
    <w:rsid w:val="00DE294B"/>
    <w:rsid w:val="00DF0ACF"/>
    <w:rsid w:val="00DF7698"/>
    <w:rsid w:val="00E016B3"/>
    <w:rsid w:val="00E06CD9"/>
    <w:rsid w:val="00E26C53"/>
    <w:rsid w:val="00E33168"/>
    <w:rsid w:val="00E34DED"/>
    <w:rsid w:val="00E43F9B"/>
    <w:rsid w:val="00E9111E"/>
    <w:rsid w:val="00E963E1"/>
    <w:rsid w:val="00EA0B34"/>
    <w:rsid w:val="00EB21CD"/>
    <w:rsid w:val="00EB23B8"/>
    <w:rsid w:val="00EC313F"/>
    <w:rsid w:val="00ED47F5"/>
    <w:rsid w:val="00EE140D"/>
    <w:rsid w:val="00EE3A50"/>
    <w:rsid w:val="00EE54AD"/>
    <w:rsid w:val="00EE6A60"/>
    <w:rsid w:val="00EF4BA4"/>
    <w:rsid w:val="00EF57FB"/>
    <w:rsid w:val="00F357F5"/>
    <w:rsid w:val="00F55EB9"/>
    <w:rsid w:val="00F63FB9"/>
    <w:rsid w:val="00F6565A"/>
    <w:rsid w:val="00F814E6"/>
    <w:rsid w:val="00FA55B2"/>
    <w:rsid w:val="00FB652D"/>
    <w:rsid w:val="00FC051D"/>
    <w:rsid w:val="00FC2964"/>
    <w:rsid w:val="00FD7A0C"/>
    <w:rsid w:val="00FE09C9"/>
    <w:rsid w:val="00FE1ACF"/>
    <w:rsid w:val="00FE21D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6C8025B-8AA8-4CDB-86E4-3F9A99CB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F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25BF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5BF3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25BF3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B25BF3"/>
    <w:pPr>
      <w:keepNext/>
      <w:outlineLvl w:val="4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5B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BF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25BF3"/>
    <w:pPr>
      <w:ind w:left="720"/>
    </w:pPr>
  </w:style>
  <w:style w:type="paragraph" w:styleId="BodyText">
    <w:name w:val="Body Text"/>
    <w:basedOn w:val="Normal"/>
    <w:rsid w:val="00B25BF3"/>
    <w:rPr>
      <w:rFonts w:ascii="Arial Narrow" w:hAnsi="Arial Narrow"/>
      <w:sz w:val="20"/>
    </w:rPr>
  </w:style>
  <w:style w:type="paragraph" w:styleId="Title">
    <w:name w:val="Title"/>
    <w:basedOn w:val="Normal"/>
    <w:qFormat/>
    <w:rsid w:val="00B25BF3"/>
    <w:pPr>
      <w:jc w:val="center"/>
    </w:pPr>
    <w:rPr>
      <w:b/>
      <w:bCs/>
    </w:rPr>
  </w:style>
  <w:style w:type="character" w:styleId="Hyperlink">
    <w:name w:val="Hyperlink"/>
    <w:rsid w:val="00B25BF3"/>
    <w:rPr>
      <w:color w:val="0000FF"/>
      <w:u w:val="single"/>
    </w:rPr>
  </w:style>
  <w:style w:type="table" w:styleId="TableGrid">
    <w:name w:val="Table Grid"/>
    <w:basedOn w:val="TableNormal"/>
    <w:rsid w:val="00B2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25BF3"/>
  </w:style>
  <w:style w:type="paragraph" w:styleId="BalloonText">
    <w:name w:val="Balloon Text"/>
    <w:basedOn w:val="Normal"/>
    <w:semiHidden/>
    <w:rsid w:val="00B25BF3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BF3"/>
    <w:rPr>
      <w:b/>
      <w:bCs/>
    </w:rPr>
  </w:style>
  <w:style w:type="character" w:styleId="CommentReference">
    <w:name w:val="annotation reference"/>
    <w:semiHidden/>
    <w:rsid w:val="00B25BF3"/>
    <w:rPr>
      <w:sz w:val="16"/>
      <w:szCs w:val="16"/>
    </w:rPr>
  </w:style>
  <w:style w:type="paragraph" w:styleId="CommentText">
    <w:name w:val="annotation text"/>
    <w:basedOn w:val="Normal"/>
    <w:semiHidden/>
    <w:rsid w:val="00B25BF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5BF3"/>
    <w:rPr>
      <w:b/>
      <w:bCs/>
    </w:rPr>
  </w:style>
  <w:style w:type="paragraph" w:styleId="TOC1">
    <w:name w:val="toc 1"/>
    <w:basedOn w:val="Normal"/>
    <w:next w:val="Normal"/>
    <w:autoRedefine/>
    <w:semiHidden/>
    <w:rsid w:val="00591E22"/>
    <w:pPr>
      <w:tabs>
        <w:tab w:val="left" w:pos="960"/>
        <w:tab w:val="right" w:pos="9061"/>
      </w:tabs>
      <w:spacing w:before="240" w:after="120"/>
    </w:pPr>
    <w:rPr>
      <w:rFonts w:cs="Arial"/>
      <w:b/>
      <w:bCs/>
      <w:noProof/>
      <w:szCs w:val="24"/>
    </w:rPr>
  </w:style>
  <w:style w:type="paragraph" w:styleId="TOC2">
    <w:name w:val="toc 2"/>
    <w:basedOn w:val="Normal"/>
    <w:next w:val="Normal"/>
    <w:autoRedefine/>
    <w:semiHidden/>
    <w:rsid w:val="00B25BF3"/>
    <w:pPr>
      <w:spacing w:before="120"/>
      <w:ind w:left="240"/>
    </w:pPr>
    <w:rPr>
      <w:rFonts w:ascii="Times New Roman" w:hAnsi="Times New Roman"/>
      <w:i/>
      <w:iCs/>
      <w:sz w:val="20"/>
    </w:rPr>
  </w:style>
  <w:style w:type="paragraph" w:styleId="TOC3">
    <w:name w:val="toc 3"/>
    <w:basedOn w:val="Normal"/>
    <w:next w:val="Normal"/>
    <w:autoRedefine/>
    <w:semiHidden/>
    <w:rsid w:val="00B25BF3"/>
    <w:pPr>
      <w:ind w:left="48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semiHidden/>
    <w:rsid w:val="00B25BF3"/>
    <w:pPr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rsid w:val="00B25BF3"/>
    <w:pPr>
      <w:ind w:left="9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rsid w:val="00B25BF3"/>
    <w:pPr>
      <w:ind w:left="12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rsid w:val="00B25BF3"/>
    <w:pPr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rsid w:val="00B25BF3"/>
    <w:pPr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rsid w:val="00B25BF3"/>
    <w:pPr>
      <w:ind w:left="1920"/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rsid w:val="00B25BF3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CE1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DF76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7E8E"/>
    <w:pPr>
      <w:ind w:left="720"/>
    </w:pPr>
  </w:style>
  <w:style w:type="character" w:customStyle="1" w:styleId="FooterChar">
    <w:name w:val="Footer Char"/>
    <w:link w:val="Footer"/>
    <w:uiPriority w:val="99"/>
    <w:rsid w:val="002209C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" TargetMode="External"/><Relationship Id="rId26" Type="http://schemas.openxmlformats.org/officeDocument/2006/relationships/hyperlink" Target="https://www.gov.scot/binaries/content/documents/govscot/publications/guidance/2018/03/fairer-scotland-duty-interim-guidance-public-bodies/documents/00533417-pdf/00533417-pdf/govscot%3Adocument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glasgow.gov.uk/councillorsandcommittees/viewSelectedDocument.asp?c=P62AFQUT2UDXDN8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gov.uk/definition-of-disability-under-equality-act-2010" TargetMode="External"/><Relationship Id="rId25" Type="http://schemas.openxmlformats.org/officeDocument/2006/relationships/hyperlink" Target="http://www.equalityhumanrights.com/about-us/devolved-authorities/the-commission-in-scotland/legal-news-in-about-us/devolved-authorities/the-commission-in-scotland/articles/understanding-the-scottish-specific-public-sector-equality-du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t&amp;rct=j&amp;q=&amp;esrc=s&amp;source=web&amp;cd=1&amp;ved=0ahUKEwij_q-kganSAhXEDsAKHZoeBgcQFggcMAA&amp;url=https%3A%2F%2Fwww.ons.gov.uk%2Fons%2Fguide-method%2Fharmonisation%2Fprimary-set-of-harmonised-concepts-and-questions%2Fethnic-group.pdf&amp;usg=AFQjCNFH-QwgZzHMg_lyyP4rhOqS2uZWjw" TargetMode="External"/><Relationship Id="rId20" Type="http://schemas.openxmlformats.org/officeDocument/2006/relationships/hyperlink" Target="https://www.gov.scot/publications/fairer-scotland-duty-interim-guidance-public-bodi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gov.uk/equality-act-2010-guidan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lasgow.gov.uk/councillorsandcommittees/agenda.asp?meetingid=16899" TargetMode="External"/><Relationship Id="rId23" Type="http://schemas.openxmlformats.org/officeDocument/2006/relationships/hyperlink" Target="https://www.glasgow.gov.uk/index.aspx?articleid=17533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glasgow.gov.uk/index.aspx?articleid=1753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F00F-C1A9-4E72-A308-BCFF5B14C81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8104238-335D-4A37-A5CB-BD71DEDE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2345</Words>
  <Characters>15469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Glasgow city Council</Company>
  <LinksUpToDate>false</LinksUpToDate>
  <CharactersWithSpaces>17779</CharactersWithSpaces>
  <SharedDoc>false</SharedDoc>
  <HLinks>
    <vt:vector size="66" baseType="variant">
      <vt:variant>
        <vt:i4>655365</vt:i4>
      </vt:variant>
      <vt:variant>
        <vt:i4>30</vt:i4>
      </vt:variant>
      <vt:variant>
        <vt:i4>0</vt:i4>
      </vt:variant>
      <vt:variant>
        <vt:i4>5</vt:i4>
      </vt:variant>
      <vt:variant>
        <vt:lpwstr>https://www.gov.scot/binaries/content/documents/govscot/publications/guidance/2018/03/fairer-scotland-duty-interim-guidance-public-bodies/documents/00533417-pdf/00533417-pdf/govscot%3Adocument</vt:lpwstr>
      </vt:variant>
      <vt:variant>
        <vt:lpwstr/>
      </vt:variant>
      <vt:variant>
        <vt:i4>1704026</vt:i4>
      </vt:variant>
      <vt:variant>
        <vt:i4>27</vt:i4>
      </vt:variant>
      <vt:variant>
        <vt:i4>0</vt:i4>
      </vt:variant>
      <vt:variant>
        <vt:i4>5</vt:i4>
      </vt:variant>
      <vt:variant>
        <vt:lpwstr>http://www.equalityhumanrights.com/about-us/devolved-authorities/the-commission-in-scotland/legal-news-in-about-us/devolved-authorities/the-commission-in-scotland/articles/understanding-the-scottish-specific-public-sector-equality-duties</vt:lpwstr>
      </vt:variant>
      <vt:variant>
        <vt:lpwstr/>
      </vt:variant>
      <vt:variant>
        <vt:i4>327759</vt:i4>
      </vt:variant>
      <vt:variant>
        <vt:i4>24</vt:i4>
      </vt:variant>
      <vt:variant>
        <vt:i4>0</vt:i4>
      </vt:variant>
      <vt:variant>
        <vt:i4>5</vt:i4>
      </vt:variant>
      <vt:variant>
        <vt:lpwstr>https://www.gov.uk/equality-act-2010-guidance</vt:lpwstr>
      </vt:variant>
      <vt:variant>
        <vt:lpwstr/>
      </vt:variant>
      <vt:variant>
        <vt:i4>4194368</vt:i4>
      </vt:variant>
      <vt:variant>
        <vt:i4>21</vt:i4>
      </vt:variant>
      <vt:variant>
        <vt:i4>0</vt:i4>
      </vt:variant>
      <vt:variant>
        <vt:i4>5</vt:i4>
      </vt:variant>
      <vt:variant>
        <vt:lpwstr>https://www.glasgow.gov.uk/index.aspx?articleid=17533</vt:lpwstr>
      </vt:variant>
      <vt:variant>
        <vt:lpwstr/>
      </vt:variant>
      <vt:variant>
        <vt:i4>4194368</vt:i4>
      </vt:variant>
      <vt:variant>
        <vt:i4>18</vt:i4>
      </vt:variant>
      <vt:variant>
        <vt:i4>0</vt:i4>
      </vt:variant>
      <vt:variant>
        <vt:i4>5</vt:i4>
      </vt:variant>
      <vt:variant>
        <vt:lpwstr>https://www.glasgow.gov.uk/index.aspx?articleid=17533</vt:lpwstr>
      </vt:variant>
      <vt:variant>
        <vt:lpwstr/>
      </vt:variant>
      <vt:variant>
        <vt:i4>6750318</vt:i4>
      </vt:variant>
      <vt:variant>
        <vt:i4>15</vt:i4>
      </vt:variant>
      <vt:variant>
        <vt:i4>0</vt:i4>
      </vt:variant>
      <vt:variant>
        <vt:i4>5</vt:i4>
      </vt:variant>
      <vt:variant>
        <vt:lpwstr>https://www.gov.scot/publications/fairer-scotland-duty-interim-guidance-public-bodies/</vt:lpwstr>
      </vt:variant>
      <vt:variant>
        <vt:lpwstr/>
      </vt:variant>
      <vt:variant>
        <vt:i4>6422632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</vt:lpwstr>
      </vt:variant>
      <vt:variant>
        <vt:lpwstr/>
      </vt:variant>
      <vt:variant>
        <vt:i4>6422632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.uk/url?sa=t&amp;rct=j&amp;q=&amp;esrc=s&amp;source=web&amp;cd=2&amp;ved=0ahUKEwi0tbauhqnSAhVkDMAKHRrOBtAQFggkMAE&amp;url=https%3A%2F%2Fwww.ons.gov.uk%2Fons%2Fguide-method%2Fharmonisation%2Fsecondary-set-of-harmonised-concepts-and-questions%2Fnational-and-religious-identity.pdf&amp;usg=AFQjCNEq3xYwRxcbtwe3qqtyFgstlLd1WQ&amp;bvm=bv.148073327,d.ZGg</vt:lpwstr>
      </vt:variant>
      <vt:variant>
        <vt:lpwstr/>
      </vt:variant>
      <vt:variant>
        <vt:i4>3014754</vt:i4>
      </vt:variant>
      <vt:variant>
        <vt:i4>6</vt:i4>
      </vt:variant>
      <vt:variant>
        <vt:i4>0</vt:i4>
      </vt:variant>
      <vt:variant>
        <vt:i4>5</vt:i4>
      </vt:variant>
      <vt:variant>
        <vt:lpwstr>https://www.gov.uk/definition-of-disability-under-equality-act-2010</vt:lpwstr>
      </vt:variant>
      <vt:variant>
        <vt:lpwstr/>
      </vt:variant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uk/url?sa=t&amp;rct=j&amp;q=&amp;esrc=s&amp;source=web&amp;cd=1&amp;ved=0ahUKEwij_q-kganSAhXEDsAKHZoeBgcQFggcMAA&amp;url=https%3A%2F%2Fwww.ons.gov.uk%2Fons%2Fguide-method%2Fharmonisation%2Fprimary-set-of-harmonised-concepts-and-questions%2Fethnic-group.pdf&amp;usg=AFQjCNFH-QwgZzHMg_lyyP4rhOqS2uZWjw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http://www.glasgow.gov.uk/councillorsandcommittees/agenda.asp?meetingid=16899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Administrator</dc:creator>
  <cp:keywords>[OFFICIAL]</cp:keywords>
  <cp:lastModifiedBy>Speirs, Alan (Social Work)</cp:lastModifiedBy>
  <cp:revision>3</cp:revision>
  <cp:lastPrinted>2019-03-04T17:56:00Z</cp:lastPrinted>
  <dcterms:created xsi:type="dcterms:W3CDTF">2021-01-14T15:23:00Z</dcterms:created>
  <dcterms:modified xsi:type="dcterms:W3CDTF">2021-01-14T15:24:00Z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ce75dc4e-9748-4e69-93f0-7fdb44e6091c</vt:lpwstr>
  </property>
  <property fmtid="{D5CDD505-2E9C-101B-9397-08002B2CF9AE}" pid="3" name="bjSaver">
    <vt:lpwstr>0kZJpN4kZ+z20kHMJ/sO7gKInLIJ56cy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