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D5C82" w14:textId="77777777" w:rsidR="002101EA" w:rsidRDefault="00CE1909" w:rsidP="00530518">
      <w:pPr>
        <w:jc w:val="center"/>
        <w:rPr>
          <w:b/>
          <w:sz w:val="40"/>
          <w:szCs w:val="40"/>
        </w:rPr>
      </w:pPr>
      <w:r w:rsidRPr="002101EA">
        <w:rPr>
          <w:b/>
          <w:sz w:val="40"/>
          <w:szCs w:val="40"/>
        </w:rPr>
        <w:t>EQUALITY IMPACT ASSESSMENT (EQIA)</w:t>
      </w:r>
      <w:r w:rsidR="00530518" w:rsidRPr="002101EA">
        <w:rPr>
          <w:b/>
          <w:sz w:val="40"/>
          <w:szCs w:val="40"/>
        </w:rPr>
        <w:t xml:space="preserve">: </w:t>
      </w:r>
    </w:p>
    <w:p w14:paraId="2902C111" w14:textId="77777777" w:rsidR="00CE1909" w:rsidRPr="002101EA" w:rsidRDefault="00CE1909" w:rsidP="00530518">
      <w:pPr>
        <w:jc w:val="center"/>
        <w:rPr>
          <w:b/>
          <w:sz w:val="40"/>
          <w:szCs w:val="40"/>
        </w:rPr>
      </w:pPr>
      <w:r w:rsidRPr="002101EA">
        <w:rPr>
          <w:b/>
          <w:sz w:val="40"/>
          <w:szCs w:val="40"/>
        </w:rPr>
        <w:t>SCREENING FORM</w:t>
      </w:r>
    </w:p>
    <w:p w14:paraId="69B57AD8" w14:textId="77777777" w:rsidR="00BA61E4" w:rsidRDefault="00BA61E4" w:rsidP="00716EFA">
      <w:pPr>
        <w:pStyle w:val="Default"/>
        <w:ind w:left="360"/>
        <w:jc w:val="both"/>
        <w:rPr>
          <w:sz w:val="22"/>
          <w:szCs w:val="28"/>
        </w:rPr>
      </w:pPr>
    </w:p>
    <w:p w14:paraId="7236B038" w14:textId="77777777" w:rsidR="00BA61E4" w:rsidRDefault="00BA61E4" w:rsidP="00716EFA">
      <w:pPr>
        <w:pStyle w:val="Default"/>
        <w:ind w:left="360"/>
        <w:jc w:val="both"/>
        <w:rPr>
          <w:sz w:val="22"/>
          <w:szCs w:val="28"/>
        </w:rPr>
      </w:pPr>
    </w:p>
    <w:p w14:paraId="371348EF" w14:textId="77777777" w:rsidR="00CE1909" w:rsidRPr="002101EA" w:rsidRDefault="00716EFA" w:rsidP="00716EFA">
      <w:pPr>
        <w:pStyle w:val="Default"/>
        <w:ind w:left="360"/>
        <w:jc w:val="both"/>
      </w:pPr>
      <w:r w:rsidRPr="002101EA">
        <w:t>I</w:t>
      </w:r>
      <w:r w:rsidR="00CE1909" w:rsidRPr="002101EA">
        <w:t xml:space="preserve">ntroduction to the EQIA </w:t>
      </w:r>
      <w:r w:rsidRPr="002101EA">
        <w:t xml:space="preserve">screening </w:t>
      </w:r>
      <w:r w:rsidR="00CE1909" w:rsidRPr="002101EA">
        <w:t xml:space="preserve">process </w:t>
      </w:r>
    </w:p>
    <w:p w14:paraId="79E1C493" w14:textId="77777777" w:rsidR="00CE1909" w:rsidRPr="002101EA" w:rsidRDefault="00CE1909" w:rsidP="00CE1909">
      <w:pPr>
        <w:pStyle w:val="Default"/>
        <w:ind w:left="360"/>
        <w:jc w:val="both"/>
      </w:pPr>
    </w:p>
    <w:p w14:paraId="653F2DBE" w14:textId="77777777" w:rsidR="00716EFA" w:rsidRPr="002101EA" w:rsidRDefault="00CE1909" w:rsidP="00716EFA">
      <w:pPr>
        <w:pStyle w:val="Default"/>
        <w:ind w:left="360"/>
        <w:jc w:val="both"/>
      </w:pPr>
      <w:r w:rsidRPr="002101EA">
        <w:t xml:space="preserve">A successful </w:t>
      </w:r>
      <w:r w:rsidRPr="002101EA">
        <w:rPr>
          <w:u w:val="single"/>
        </w:rPr>
        <w:t>EQIA</w:t>
      </w:r>
      <w:r w:rsidR="00530518" w:rsidRPr="002101EA">
        <w:rPr>
          <w:u w:val="single"/>
        </w:rPr>
        <w:t xml:space="preserve"> screening</w:t>
      </w:r>
      <w:r w:rsidRPr="002101EA">
        <w:rPr>
          <w:u w:val="single"/>
        </w:rPr>
        <w:t xml:space="preserve"> </w:t>
      </w:r>
      <w:r w:rsidRPr="002101EA">
        <w:t xml:space="preserve">will look at 5 key areas: </w:t>
      </w:r>
    </w:p>
    <w:p w14:paraId="43CAB30E" w14:textId="77777777" w:rsidR="00CE1909" w:rsidRPr="002101EA" w:rsidRDefault="00CE1909" w:rsidP="00CE1909">
      <w:pPr>
        <w:pStyle w:val="Default"/>
        <w:jc w:val="both"/>
      </w:pPr>
    </w:p>
    <w:p w14:paraId="5244028A" w14:textId="77777777" w:rsidR="00BA61E4" w:rsidRPr="002101EA" w:rsidRDefault="00CE1909" w:rsidP="005272A9">
      <w:pPr>
        <w:pStyle w:val="Default"/>
        <w:numPr>
          <w:ilvl w:val="0"/>
          <w:numId w:val="7"/>
        </w:numPr>
        <w:jc w:val="both"/>
      </w:pPr>
      <w:r w:rsidRPr="002101EA">
        <w:rPr>
          <w:b/>
          <w:bCs/>
        </w:rPr>
        <w:t xml:space="preserve">Identify the Policy, Project, </w:t>
      </w:r>
      <w:r w:rsidR="00716EFA" w:rsidRPr="002101EA">
        <w:rPr>
          <w:b/>
          <w:bCs/>
        </w:rPr>
        <w:t xml:space="preserve">Service Reform </w:t>
      </w:r>
      <w:r w:rsidRPr="002101EA">
        <w:rPr>
          <w:b/>
          <w:bCs/>
        </w:rPr>
        <w:t xml:space="preserve">or </w:t>
      </w:r>
      <w:r w:rsidR="00716EFA" w:rsidRPr="002101EA">
        <w:rPr>
          <w:b/>
          <w:bCs/>
        </w:rPr>
        <w:t>Budget Option</w:t>
      </w:r>
      <w:r w:rsidRPr="002101EA">
        <w:rPr>
          <w:b/>
          <w:bCs/>
        </w:rPr>
        <w:t xml:space="preserve"> to be assessed</w:t>
      </w:r>
    </w:p>
    <w:p w14:paraId="16225BE6" w14:textId="77777777" w:rsidR="00CE1909" w:rsidRPr="002101EA" w:rsidRDefault="00BA61E4" w:rsidP="00BA61E4">
      <w:pPr>
        <w:pStyle w:val="Default"/>
        <w:ind w:left="360" w:firstLine="360"/>
        <w:jc w:val="both"/>
      </w:pPr>
      <w:r w:rsidRPr="002101EA">
        <w:t>A</w:t>
      </w:r>
      <w:r w:rsidR="00CE1909" w:rsidRPr="002101EA">
        <w:t xml:space="preserve"> clear definition</w:t>
      </w:r>
      <w:r w:rsidRPr="002101EA">
        <w:t xml:space="preserve"> of what is being screened</w:t>
      </w:r>
      <w:r w:rsidR="00CE1909" w:rsidRPr="002101EA">
        <w:t xml:space="preserve"> and its aims </w:t>
      </w:r>
    </w:p>
    <w:p w14:paraId="3F2C5262" w14:textId="77777777" w:rsidR="00716EFA" w:rsidRPr="002101EA" w:rsidRDefault="00716EFA" w:rsidP="00BA61E4">
      <w:pPr>
        <w:pStyle w:val="Default"/>
        <w:ind w:left="360"/>
        <w:jc w:val="both"/>
      </w:pPr>
    </w:p>
    <w:p w14:paraId="22614C8D" w14:textId="77777777" w:rsidR="00BA61E4" w:rsidRPr="002101EA" w:rsidRDefault="0008714A" w:rsidP="005272A9">
      <w:pPr>
        <w:pStyle w:val="Default"/>
        <w:numPr>
          <w:ilvl w:val="0"/>
          <w:numId w:val="7"/>
        </w:numPr>
        <w:jc w:val="both"/>
      </w:pPr>
      <w:r w:rsidRPr="002101EA">
        <w:rPr>
          <w:b/>
          <w:bCs/>
        </w:rPr>
        <w:t>Gathering Evidence &amp; Stakeholder Engagement</w:t>
      </w:r>
    </w:p>
    <w:p w14:paraId="09C273A0" w14:textId="77777777" w:rsidR="00CE1909" w:rsidRPr="002101EA" w:rsidRDefault="00CE1909" w:rsidP="00BA61E4">
      <w:pPr>
        <w:pStyle w:val="Default"/>
        <w:ind w:left="720"/>
        <w:jc w:val="both"/>
      </w:pPr>
      <w:r w:rsidRPr="002101EA">
        <w:t>Collect data</w:t>
      </w:r>
      <w:r w:rsidRPr="002101EA">
        <w:rPr>
          <w:b/>
          <w:bCs/>
        </w:rPr>
        <w:t xml:space="preserve"> </w:t>
      </w:r>
      <w:r w:rsidRPr="002101EA">
        <w:t>to evidence the type of barriers people face to accessing services (research, consultations, complaints</w:t>
      </w:r>
      <w:r w:rsidRPr="002101EA">
        <w:rPr>
          <w:b/>
          <w:bCs/>
        </w:rPr>
        <w:t xml:space="preserve"> </w:t>
      </w:r>
      <w:r w:rsidRPr="002101EA">
        <w:t>and/o</w:t>
      </w:r>
      <w:r w:rsidR="00FF7D81" w:rsidRPr="002101EA">
        <w:t>r consult with equality groups</w:t>
      </w:r>
      <w:r w:rsidR="00961760" w:rsidRPr="002101EA">
        <w:t>)</w:t>
      </w:r>
    </w:p>
    <w:p w14:paraId="03DA6FA9" w14:textId="77777777" w:rsidR="00716EFA" w:rsidRPr="002101EA" w:rsidRDefault="00716EFA" w:rsidP="00BA61E4">
      <w:pPr>
        <w:pStyle w:val="Default"/>
        <w:jc w:val="both"/>
      </w:pPr>
    </w:p>
    <w:p w14:paraId="6DFA5226" w14:textId="77777777" w:rsidR="00BA61E4" w:rsidRPr="002101EA" w:rsidRDefault="0008714A" w:rsidP="005272A9">
      <w:pPr>
        <w:pStyle w:val="Default"/>
        <w:numPr>
          <w:ilvl w:val="0"/>
          <w:numId w:val="7"/>
        </w:numPr>
        <w:jc w:val="both"/>
      </w:pPr>
      <w:r w:rsidRPr="002101EA">
        <w:rPr>
          <w:b/>
          <w:bCs/>
        </w:rPr>
        <w:t xml:space="preserve">Assessment &amp; </w:t>
      </w:r>
      <w:r w:rsidR="00716EFA" w:rsidRPr="002101EA">
        <w:rPr>
          <w:b/>
          <w:bCs/>
        </w:rPr>
        <w:t xml:space="preserve">Differential </w:t>
      </w:r>
      <w:r w:rsidR="00CE1909" w:rsidRPr="002101EA">
        <w:rPr>
          <w:b/>
          <w:bCs/>
        </w:rPr>
        <w:t>Impact</w:t>
      </w:r>
      <w:r w:rsidRPr="002101EA">
        <w:rPr>
          <w:b/>
          <w:bCs/>
        </w:rPr>
        <w:t>s</w:t>
      </w:r>
    </w:p>
    <w:p w14:paraId="372E7F01" w14:textId="77777777" w:rsidR="00CE1909" w:rsidRPr="002101EA" w:rsidRDefault="00BA61E4" w:rsidP="00BA61E4">
      <w:pPr>
        <w:pStyle w:val="Default"/>
        <w:ind w:left="360" w:firstLine="360"/>
        <w:jc w:val="both"/>
      </w:pPr>
      <w:r w:rsidRPr="002101EA">
        <w:t>R</w:t>
      </w:r>
      <w:r w:rsidR="00CE1909" w:rsidRPr="002101EA">
        <w:t>eaching an informed decision on whether or not there is a differential impact on equa</w:t>
      </w:r>
      <w:r w:rsidR="00FF7D81" w:rsidRPr="002101EA">
        <w:t>lity groups, and at what level</w:t>
      </w:r>
    </w:p>
    <w:p w14:paraId="0DCB254E" w14:textId="77777777" w:rsidR="00716EFA" w:rsidRPr="002101EA" w:rsidRDefault="00716EFA" w:rsidP="00BA61E4">
      <w:pPr>
        <w:pStyle w:val="Default"/>
        <w:jc w:val="both"/>
      </w:pPr>
    </w:p>
    <w:p w14:paraId="4562CFF1" w14:textId="77777777" w:rsidR="00BA61E4" w:rsidRPr="002101EA" w:rsidRDefault="0008714A" w:rsidP="005272A9">
      <w:pPr>
        <w:numPr>
          <w:ilvl w:val="0"/>
          <w:numId w:val="7"/>
        </w:numPr>
        <w:tabs>
          <w:tab w:val="left" w:pos="6062"/>
          <w:tab w:val="left" w:pos="11164"/>
          <w:tab w:val="left" w:pos="15276"/>
        </w:tabs>
        <w:rPr>
          <w:b/>
          <w:bCs/>
          <w:szCs w:val="24"/>
        </w:rPr>
      </w:pPr>
      <w:r w:rsidRPr="002101EA">
        <w:rPr>
          <w:b/>
          <w:bCs/>
          <w:szCs w:val="24"/>
        </w:rPr>
        <w:t xml:space="preserve">Outcomes, </w:t>
      </w:r>
      <w:r w:rsidR="00716EFA" w:rsidRPr="002101EA">
        <w:rPr>
          <w:b/>
          <w:bCs/>
          <w:szCs w:val="24"/>
        </w:rPr>
        <w:t>Action</w:t>
      </w:r>
      <w:r w:rsidRPr="002101EA">
        <w:rPr>
          <w:b/>
          <w:bCs/>
          <w:szCs w:val="24"/>
        </w:rPr>
        <w:t xml:space="preserve"> &amp; Public Reporting</w:t>
      </w:r>
    </w:p>
    <w:p w14:paraId="7AD029A3" w14:textId="77777777" w:rsidR="007073B2" w:rsidRPr="002101EA" w:rsidRDefault="00BA61E4" w:rsidP="007073B2">
      <w:pPr>
        <w:tabs>
          <w:tab w:val="left" w:pos="720"/>
          <w:tab w:val="left" w:pos="11164"/>
          <w:tab w:val="left" w:pos="15276"/>
        </w:tabs>
        <w:ind w:left="720"/>
        <w:rPr>
          <w:bCs/>
          <w:szCs w:val="24"/>
        </w:rPr>
      </w:pPr>
      <w:r w:rsidRPr="002101EA">
        <w:rPr>
          <w:szCs w:val="24"/>
        </w:rPr>
        <w:t>D</w:t>
      </w:r>
      <w:r w:rsidR="00CE1909" w:rsidRPr="002101EA">
        <w:rPr>
          <w:szCs w:val="24"/>
        </w:rPr>
        <w:t>evelop an action plan to make changes where a negative impact has been assessed</w:t>
      </w:r>
      <w:r w:rsidR="0008714A" w:rsidRPr="002101EA">
        <w:rPr>
          <w:bCs/>
          <w:szCs w:val="24"/>
        </w:rPr>
        <w:t>. Ensure that both the assessment outcomes and the actions taken to address negative impacts are publically reported</w:t>
      </w:r>
    </w:p>
    <w:p w14:paraId="1EDA514C" w14:textId="77777777" w:rsidR="007073B2" w:rsidRPr="002101EA" w:rsidRDefault="007073B2" w:rsidP="007073B2">
      <w:pPr>
        <w:tabs>
          <w:tab w:val="left" w:pos="720"/>
          <w:tab w:val="left" w:pos="11164"/>
          <w:tab w:val="left" w:pos="15276"/>
        </w:tabs>
        <w:ind w:left="720"/>
        <w:rPr>
          <w:bCs/>
          <w:szCs w:val="24"/>
        </w:rPr>
      </w:pPr>
    </w:p>
    <w:p w14:paraId="386D867C" w14:textId="77777777" w:rsidR="0008714A" w:rsidRPr="002101EA" w:rsidRDefault="0008714A" w:rsidP="005272A9">
      <w:pPr>
        <w:numPr>
          <w:ilvl w:val="0"/>
          <w:numId w:val="7"/>
        </w:numPr>
        <w:tabs>
          <w:tab w:val="left" w:pos="720"/>
          <w:tab w:val="left" w:pos="11164"/>
          <w:tab w:val="left" w:pos="15276"/>
        </w:tabs>
        <w:rPr>
          <w:bCs/>
          <w:szCs w:val="24"/>
        </w:rPr>
      </w:pPr>
      <w:r w:rsidRPr="002101EA">
        <w:rPr>
          <w:b/>
          <w:szCs w:val="24"/>
        </w:rPr>
        <w:t xml:space="preserve">Monitoring, Evaluation &amp; Review </w:t>
      </w:r>
    </w:p>
    <w:p w14:paraId="5CCD0D86" w14:textId="77777777" w:rsidR="00CE1909" w:rsidRPr="002101EA" w:rsidRDefault="00BA61E4" w:rsidP="00BA61E4">
      <w:pPr>
        <w:tabs>
          <w:tab w:val="left" w:pos="720"/>
        </w:tabs>
        <w:ind w:left="720"/>
        <w:rPr>
          <w:szCs w:val="24"/>
        </w:rPr>
      </w:pPr>
      <w:r w:rsidRPr="002101EA">
        <w:rPr>
          <w:szCs w:val="24"/>
        </w:rPr>
        <w:t>S</w:t>
      </w:r>
      <w:r w:rsidR="00CE1909" w:rsidRPr="002101EA">
        <w:rPr>
          <w:szCs w:val="24"/>
        </w:rPr>
        <w:t xml:space="preserve">tating how you will monitor and evaluate the </w:t>
      </w:r>
      <w:r w:rsidRPr="002101EA">
        <w:rPr>
          <w:b/>
          <w:bCs/>
          <w:szCs w:val="24"/>
        </w:rPr>
        <w:t>Policy, Project, Service Reform or Budget Option</w:t>
      </w:r>
      <w:r w:rsidR="00CE1909" w:rsidRPr="002101EA">
        <w:rPr>
          <w:szCs w:val="24"/>
        </w:rPr>
        <w:t xml:space="preserve"> to en</w:t>
      </w:r>
      <w:r w:rsidR="00B07F00" w:rsidRPr="002101EA">
        <w:rPr>
          <w:szCs w:val="24"/>
        </w:rPr>
        <w:t xml:space="preserve">sure that you are continuing to </w:t>
      </w:r>
      <w:r w:rsidR="00CE1909" w:rsidRPr="002101EA">
        <w:rPr>
          <w:szCs w:val="24"/>
        </w:rPr>
        <w:t>achieve the expected outcomes for all groups.</w:t>
      </w:r>
    </w:p>
    <w:p w14:paraId="418CBCA6" w14:textId="77777777" w:rsidR="00716EFA" w:rsidRPr="002101EA" w:rsidRDefault="00716EFA" w:rsidP="00BA61E4">
      <w:pPr>
        <w:tabs>
          <w:tab w:val="left" w:pos="6062"/>
          <w:tab w:val="left" w:pos="11164"/>
          <w:tab w:val="left" w:pos="14580"/>
        </w:tabs>
        <w:ind w:left="-176"/>
        <w:rPr>
          <w:szCs w:val="24"/>
        </w:rPr>
      </w:pPr>
    </w:p>
    <w:p w14:paraId="4F2E0685" w14:textId="77777777" w:rsidR="0008714A" w:rsidRPr="002101EA" w:rsidRDefault="0008714A" w:rsidP="00BA61E4">
      <w:pPr>
        <w:tabs>
          <w:tab w:val="left" w:pos="6062"/>
          <w:tab w:val="left" w:pos="11164"/>
          <w:tab w:val="left" w:pos="14580"/>
        </w:tabs>
        <w:ind w:left="-176"/>
        <w:rPr>
          <w:szCs w:val="24"/>
        </w:rPr>
      </w:pPr>
    </w:p>
    <w:p w14:paraId="33BCEA78" w14:textId="77777777" w:rsidR="0008714A" w:rsidRPr="002101EA" w:rsidRDefault="0008714A" w:rsidP="0008714A">
      <w:pPr>
        <w:pStyle w:val="Default"/>
        <w:ind w:left="720"/>
        <w:jc w:val="both"/>
      </w:pPr>
    </w:p>
    <w:p w14:paraId="717BC260" w14:textId="77777777" w:rsidR="0008714A" w:rsidRPr="002101EA" w:rsidRDefault="0008714A" w:rsidP="00BA61E4">
      <w:pPr>
        <w:tabs>
          <w:tab w:val="left" w:pos="6062"/>
          <w:tab w:val="left" w:pos="11164"/>
          <w:tab w:val="left" w:pos="14580"/>
        </w:tabs>
        <w:ind w:left="-176"/>
        <w:rPr>
          <w:szCs w:val="24"/>
        </w:rPr>
        <w:sectPr w:rsidR="0008714A" w:rsidRPr="002101EA" w:rsidSect="002101E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1440" w:bottom="1135" w:left="851" w:header="720" w:footer="720" w:gutter="0"/>
          <w:cols w:space="720"/>
        </w:sectPr>
      </w:pPr>
    </w:p>
    <w:p w14:paraId="39A46AD3" w14:textId="77777777" w:rsidR="00CE1909" w:rsidRPr="00B04CFA" w:rsidRDefault="00716EFA" w:rsidP="00716EFA">
      <w:pPr>
        <w:tabs>
          <w:tab w:val="left" w:pos="6062"/>
          <w:tab w:val="left" w:pos="11164"/>
          <w:tab w:val="left" w:pos="15276"/>
        </w:tabs>
        <w:ind w:left="360"/>
        <w:rPr>
          <w:sz w:val="36"/>
          <w:szCs w:val="36"/>
        </w:rPr>
      </w:pPr>
      <w:r w:rsidRPr="00B04CFA">
        <w:rPr>
          <w:b/>
          <w:bCs/>
          <w:sz w:val="36"/>
          <w:szCs w:val="36"/>
        </w:rPr>
        <w:lastRenderedPageBreak/>
        <w:t>1. IDENTIFY THE POLICY, PROJECT, SERVICE REFORM OR BUDGET OPTION</w:t>
      </w:r>
      <w:r w:rsidR="00CE1909" w:rsidRPr="00B04CFA">
        <w:rPr>
          <w:sz w:val="36"/>
          <w:szCs w:val="36"/>
        </w:rPr>
        <w:t xml:space="preserve">: </w:t>
      </w:r>
    </w:p>
    <w:p w14:paraId="73A2FFA9" w14:textId="77777777" w:rsidR="00BA61E4" w:rsidRDefault="00BA61E4" w:rsidP="00BA61E4">
      <w:pPr>
        <w:tabs>
          <w:tab w:val="left" w:pos="6062"/>
          <w:tab w:val="left" w:pos="11164"/>
          <w:tab w:val="left" w:pos="15276"/>
        </w:tabs>
        <w:rPr>
          <w:sz w:val="22"/>
        </w:rPr>
      </w:pPr>
      <w:r w:rsidRPr="00BA61E4">
        <w:rPr>
          <w:sz w:val="22"/>
        </w:rPr>
        <w:t xml:space="preserve"> </w:t>
      </w:r>
    </w:p>
    <w:p w14:paraId="4F36DC85" w14:textId="77777777" w:rsidR="00CE1909" w:rsidRPr="00163A6F" w:rsidRDefault="00BA61E4" w:rsidP="00163A6F">
      <w:pPr>
        <w:numPr>
          <w:ilvl w:val="0"/>
          <w:numId w:val="4"/>
        </w:numPr>
        <w:tabs>
          <w:tab w:val="left" w:pos="6062"/>
          <w:tab w:val="left" w:pos="11164"/>
          <w:tab w:val="left" w:pos="15276"/>
        </w:tabs>
        <w:rPr>
          <w:sz w:val="22"/>
        </w:rPr>
      </w:pPr>
      <w:r>
        <w:rPr>
          <w:sz w:val="22"/>
        </w:rPr>
        <w:t xml:space="preserve">Name of the Policy, Project, Service Reform or Budget Option to be screened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14:paraId="20F28094" w14:textId="77777777" w:rsidTr="00C87613">
        <w:tc>
          <w:tcPr>
            <w:tcW w:w="14295" w:type="dxa"/>
            <w:shd w:val="clear" w:color="auto" w:fill="auto"/>
          </w:tcPr>
          <w:p w14:paraId="2D7D0DED" w14:textId="77777777" w:rsidR="00530518" w:rsidRPr="002C2E1D" w:rsidRDefault="00BA4D19" w:rsidP="00C87613">
            <w:pPr>
              <w:tabs>
                <w:tab w:val="left" w:pos="6062"/>
                <w:tab w:val="left" w:pos="11164"/>
                <w:tab w:val="left" w:pos="15276"/>
              </w:tabs>
              <w:rPr>
                <w:rFonts w:cs="Arial"/>
                <w:sz w:val="22"/>
              </w:rPr>
            </w:pPr>
            <w:r w:rsidRPr="002C2E1D">
              <w:rPr>
                <w:rFonts w:cs="Arial"/>
                <w:sz w:val="22"/>
              </w:rPr>
              <w:t xml:space="preserve">Licensing and Regulation of Sexual Entertainment Venues </w:t>
            </w:r>
            <w:r w:rsidR="00204910">
              <w:rPr>
                <w:rFonts w:cs="Arial"/>
                <w:sz w:val="22"/>
              </w:rPr>
              <w:t>(“</w:t>
            </w:r>
            <w:r w:rsidR="00204910" w:rsidRPr="00204910">
              <w:rPr>
                <w:rFonts w:cs="Arial"/>
                <w:b/>
                <w:sz w:val="22"/>
              </w:rPr>
              <w:t>SEVs</w:t>
            </w:r>
            <w:r w:rsidR="00204910">
              <w:rPr>
                <w:rFonts w:cs="Arial"/>
                <w:sz w:val="22"/>
              </w:rPr>
              <w:t xml:space="preserve">”) </w:t>
            </w:r>
            <w:r w:rsidRPr="002C2E1D">
              <w:rPr>
                <w:rFonts w:cs="Arial"/>
                <w:sz w:val="22"/>
              </w:rPr>
              <w:t>in Glasgow</w:t>
            </w:r>
          </w:p>
          <w:p w14:paraId="61B2BC66" w14:textId="77777777" w:rsidR="00530518" w:rsidRPr="00C87613" w:rsidRDefault="00530518" w:rsidP="00C87613">
            <w:pPr>
              <w:tabs>
                <w:tab w:val="left" w:pos="6062"/>
                <w:tab w:val="left" w:pos="11164"/>
                <w:tab w:val="left" w:pos="15276"/>
              </w:tabs>
              <w:rPr>
                <w:sz w:val="22"/>
              </w:rPr>
            </w:pPr>
          </w:p>
        </w:tc>
      </w:tr>
    </w:tbl>
    <w:p w14:paraId="0ED14DE0" w14:textId="77777777" w:rsidR="00CE1909" w:rsidRDefault="00CE1909" w:rsidP="00530518">
      <w:pPr>
        <w:tabs>
          <w:tab w:val="left" w:pos="6062"/>
          <w:tab w:val="left" w:pos="11164"/>
          <w:tab w:val="left" w:pos="15276"/>
        </w:tabs>
        <w:rPr>
          <w:sz w:val="22"/>
        </w:rPr>
      </w:pPr>
    </w:p>
    <w:p w14:paraId="0EA53DEE" w14:textId="77777777" w:rsidR="00CE1909" w:rsidRDefault="00163A6F" w:rsidP="005272A9">
      <w:pPr>
        <w:numPr>
          <w:ilvl w:val="0"/>
          <w:numId w:val="4"/>
        </w:numPr>
        <w:tabs>
          <w:tab w:val="left" w:pos="6062"/>
          <w:tab w:val="left" w:pos="11164"/>
          <w:tab w:val="left" w:pos="15276"/>
        </w:tabs>
        <w:rPr>
          <w:sz w:val="22"/>
        </w:rPr>
      </w:pPr>
      <w:r w:rsidRPr="00163A6F">
        <w:rPr>
          <w:sz w:val="22"/>
        </w:rPr>
        <w:t>Reason for Change in Policy or Policy Development</w:t>
      </w:r>
      <w:r>
        <w:rPr>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14:paraId="15AECFEB" w14:textId="77777777" w:rsidTr="00163A6F">
        <w:trPr>
          <w:trHeight w:val="1111"/>
        </w:trPr>
        <w:tc>
          <w:tcPr>
            <w:tcW w:w="14295" w:type="dxa"/>
            <w:shd w:val="clear" w:color="auto" w:fill="auto"/>
          </w:tcPr>
          <w:p w14:paraId="744585BC" w14:textId="77777777" w:rsidR="00BA4D19" w:rsidRPr="002C2E1D" w:rsidRDefault="00BA4D19" w:rsidP="00BA4D19">
            <w:pPr>
              <w:pStyle w:val="ListParagraph"/>
              <w:ind w:left="0"/>
              <w:contextualSpacing/>
              <w:jc w:val="both"/>
              <w:rPr>
                <w:rFonts w:cs="Arial"/>
                <w:sz w:val="22"/>
                <w:szCs w:val="22"/>
              </w:rPr>
            </w:pPr>
            <w:r w:rsidRPr="002C2E1D">
              <w:rPr>
                <w:rFonts w:cs="Arial"/>
                <w:sz w:val="22"/>
                <w:szCs w:val="22"/>
              </w:rPr>
              <w:t xml:space="preserve">Glasgow City Council is the licensing authority for the City of Glasgow in relation to a wide range of activities. The responsibility of licensing certain activities is delegated to the Licensing and Regulatory Committee (“the </w:t>
            </w:r>
            <w:r w:rsidRPr="002C2E1D">
              <w:rPr>
                <w:rFonts w:cs="Arial"/>
                <w:b/>
                <w:sz w:val="22"/>
                <w:szCs w:val="22"/>
              </w:rPr>
              <w:t>Committee”</w:t>
            </w:r>
            <w:r w:rsidRPr="002C2E1D">
              <w:rPr>
                <w:rFonts w:cs="Arial"/>
                <w:sz w:val="22"/>
                <w:szCs w:val="22"/>
              </w:rPr>
              <w:t>).</w:t>
            </w:r>
          </w:p>
          <w:p w14:paraId="2A2878EE" w14:textId="77777777" w:rsidR="00BA4D19" w:rsidRPr="002C2E1D" w:rsidRDefault="00BA4D19" w:rsidP="00EA454C">
            <w:pPr>
              <w:pStyle w:val="ListParagraph"/>
              <w:ind w:left="0"/>
              <w:jc w:val="both"/>
              <w:rPr>
                <w:rFonts w:cs="Arial"/>
                <w:sz w:val="22"/>
                <w:szCs w:val="22"/>
              </w:rPr>
            </w:pPr>
          </w:p>
          <w:p w14:paraId="6DB41135" w14:textId="77777777" w:rsidR="00BA4D19" w:rsidRPr="002C2E1D" w:rsidRDefault="00BA4D19" w:rsidP="00BA4D19">
            <w:pPr>
              <w:pStyle w:val="ListParagraph"/>
              <w:ind w:left="0"/>
              <w:contextualSpacing/>
              <w:jc w:val="both"/>
              <w:rPr>
                <w:rFonts w:cs="Arial"/>
                <w:sz w:val="22"/>
                <w:szCs w:val="22"/>
              </w:rPr>
            </w:pPr>
            <w:r w:rsidRPr="002C2E1D">
              <w:rPr>
                <w:rFonts w:cs="Arial"/>
                <w:sz w:val="22"/>
                <w:szCs w:val="22"/>
              </w:rPr>
              <w:t>The Air Weapons and Licensing (Scotland) Act 2015 which came into force on 5 August 2015 provided for changes to be made to the Civic Government (Scotland) Act 1982 (“</w:t>
            </w:r>
            <w:r w:rsidRPr="002C2E1D">
              <w:rPr>
                <w:rFonts w:cs="Arial"/>
                <w:b/>
                <w:sz w:val="22"/>
                <w:szCs w:val="22"/>
              </w:rPr>
              <w:t>1982 Act</w:t>
            </w:r>
            <w:r w:rsidRPr="002C2E1D">
              <w:rPr>
                <w:rFonts w:cs="Arial"/>
                <w:sz w:val="22"/>
                <w:szCs w:val="22"/>
              </w:rPr>
              <w:t xml:space="preserve">”). Not all the changes to the 1982 Act were introduced immediately.  </w:t>
            </w:r>
          </w:p>
          <w:p w14:paraId="30051AC9" w14:textId="77777777" w:rsidR="00BA4D19" w:rsidRPr="002C2E1D" w:rsidRDefault="00BA4D19" w:rsidP="00EA454C">
            <w:pPr>
              <w:pStyle w:val="ListParagraph"/>
              <w:ind w:left="0"/>
              <w:jc w:val="both"/>
              <w:rPr>
                <w:rFonts w:cs="Arial"/>
                <w:sz w:val="22"/>
                <w:szCs w:val="22"/>
              </w:rPr>
            </w:pPr>
          </w:p>
          <w:p w14:paraId="4EE166A9" w14:textId="77777777" w:rsidR="001B14B1" w:rsidRDefault="001B14B1" w:rsidP="001B14B1">
            <w:pPr>
              <w:pStyle w:val="ListParagraph"/>
              <w:ind w:left="0"/>
              <w:contextualSpacing/>
              <w:jc w:val="both"/>
              <w:rPr>
                <w:rFonts w:cs="Arial"/>
                <w:sz w:val="22"/>
                <w:szCs w:val="22"/>
              </w:rPr>
            </w:pPr>
            <w:r>
              <w:rPr>
                <w:rFonts w:cs="Arial"/>
                <w:sz w:val="22"/>
                <w:szCs w:val="22"/>
              </w:rPr>
              <w:t>T</w:t>
            </w:r>
            <w:r w:rsidR="00BA4D19" w:rsidRPr="002C2E1D">
              <w:rPr>
                <w:rFonts w:cs="Arial"/>
                <w:sz w:val="22"/>
                <w:szCs w:val="22"/>
              </w:rPr>
              <w:t xml:space="preserve">he Scottish Government brought into force The Air Weapons and Licensing (Scotland) Act 2015 (Commencement No.9 and Transitional Provisions) Order 2019 which commences a change to the 1982 Act as to introduce a new discretionary licensing regime for </w:t>
            </w:r>
            <w:r w:rsidR="00364FE1">
              <w:rPr>
                <w:rFonts w:cs="Arial"/>
                <w:sz w:val="22"/>
                <w:szCs w:val="22"/>
              </w:rPr>
              <w:t xml:space="preserve">SEVs. </w:t>
            </w:r>
            <w:r w:rsidR="00BA4D19" w:rsidRPr="002C2E1D">
              <w:rPr>
                <w:rFonts w:cs="Arial"/>
                <w:sz w:val="22"/>
                <w:szCs w:val="22"/>
              </w:rPr>
              <w:t xml:space="preserve">These changes came into effect on 26 April 2019. </w:t>
            </w:r>
          </w:p>
          <w:p w14:paraId="382C52D6" w14:textId="77777777" w:rsidR="001B14B1" w:rsidRDefault="001B14B1" w:rsidP="001B14B1">
            <w:pPr>
              <w:pStyle w:val="ListParagraph"/>
              <w:ind w:left="0"/>
              <w:contextualSpacing/>
              <w:jc w:val="both"/>
              <w:rPr>
                <w:rFonts w:cs="Arial"/>
                <w:sz w:val="22"/>
                <w:szCs w:val="22"/>
              </w:rPr>
            </w:pPr>
          </w:p>
          <w:p w14:paraId="1772B5BC" w14:textId="7A077DAA" w:rsidR="001B14B1" w:rsidRPr="00A35FB4" w:rsidRDefault="00FD1614" w:rsidP="001B14B1">
            <w:pPr>
              <w:pStyle w:val="ListParagraph"/>
              <w:ind w:left="0"/>
              <w:contextualSpacing/>
              <w:jc w:val="both"/>
              <w:rPr>
                <w:rFonts w:cs="Arial"/>
              </w:rPr>
            </w:pPr>
            <w:r>
              <w:rPr>
                <w:rFonts w:cs="Arial"/>
                <w:sz w:val="22"/>
                <w:szCs w:val="22"/>
              </w:rPr>
              <w:t>The Committee on 24 March 2021 after undertaking a public consultation and holding a number of evidence sessions, as detailed in section 2 below, passed a resolution to licence SEVs in Glasgow with effect from 24 September 2022.</w:t>
            </w:r>
          </w:p>
          <w:p w14:paraId="26B2A68B" w14:textId="77777777" w:rsidR="001B14B1" w:rsidRPr="00A35FB4" w:rsidRDefault="001B14B1" w:rsidP="00EA454C">
            <w:pPr>
              <w:pStyle w:val="ListParagraph"/>
              <w:ind w:left="0"/>
              <w:jc w:val="both"/>
              <w:rPr>
                <w:rFonts w:cs="Arial"/>
              </w:rPr>
            </w:pPr>
          </w:p>
          <w:p w14:paraId="2EABF3A5" w14:textId="77777777" w:rsidR="00530518" w:rsidRPr="00B42AD7" w:rsidRDefault="001B14B1" w:rsidP="00C87613">
            <w:pPr>
              <w:tabs>
                <w:tab w:val="left" w:pos="6062"/>
                <w:tab w:val="left" w:pos="11164"/>
                <w:tab w:val="left" w:pos="15276"/>
              </w:tabs>
              <w:rPr>
                <w:sz w:val="22"/>
                <w:szCs w:val="22"/>
              </w:rPr>
            </w:pPr>
            <w:r w:rsidRPr="00B42AD7">
              <w:rPr>
                <w:sz w:val="22"/>
                <w:szCs w:val="22"/>
              </w:rPr>
              <w:t xml:space="preserve">It should be noted that under the 1982 Act, </w:t>
            </w:r>
            <w:r w:rsidR="00FD1614" w:rsidRPr="00B42AD7">
              <w:rPr>
                <w:sz w:val="22"/>
                <w:szCs w:val="22"/>
              </w:rPr>
              <w:t>where a</w:t>
            </w:r>
            <w:r w:rsidRPr="00B42AD7">
              <w:rPr>
                <w:sz w:val="22"/>
                <w:szCs w:val="22"/>
              </w:rPr>
              <w:t xml:space="preserve"> resolution to licence SEVs is passed, then a SEV Policy Statement </w:t>
            </w:r>
            <w:r w:rsidR="00FD1614" w:rsidRPr="00B42AD7">
              <w:rPr>
                <w:rFonts w:cs="Arial"/>
                <w:sz w:val="22"/>
                <w:szCs w:val="22"/>
              </w:rPr>
              <w:t xml:space="preserve">taking into account the licensing objectives of preventing public nuisance, crime and disorder, securing public safety, protecting children and young people from harm and reducing violence against women must be published at least 28 days before the coming into effect on the resolution. </w:t>
            </w:r>
          </w:p>
        </w:tc>
      </w:tr>
    </w:tbl>
    <w:p w14:paraId="20FA01C3" w14:textId="77777777" w:rsidR="00163A6F" w:rsidRPr="00163A6F" w:rsidRDefault="00163A6F" w:rsidP="00163A6F">
      <w:pPr>
        <w:tabs>
          <w:tab w:val="left" w:pos="6062"/>
          <w:tab w:val="left" w:pos="11164"/>
          <w:tab w:val="left" w:pos="15276"/>
        </w:tabs>
        <w:rPr>
          <w:sz w:val="22"/>
        </w:rPr>
      </w:pPr>
    </w:p>
    <w:p w14:paraId="3222541B" w14:textId="77777777" w:rsidR="00163A6F" w:rsidRPr="00163A6F" w:rsidRDefault="00163A6F" w:rsidP="00163A6F">
      <w:pPr>
        <w:numPr>
          <w:ilvl w:val="0"/>
          <w:numId w:val="4"/>
        </w:numPr>
        <w:tabs>
          <w:tab w:val="left" w:pos="6062"/>
          <w:tab w:val="left" w:pos="11164"/>
          <w:tab w:val="left" w:pos="15276"/>
        </w:tabs>
        <w:rPr>
          <w:sz w:val="22"/>
        </w:rPr>
      </w:pPr>
      <w:r>
        <w:rPr>
          <w:sz w:val="22"/>
        </w:rPr>
        <w:t>List main outcome focus and supporting activities of the Policy, Project, Service Reform or Budget Option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163A6F" w:rsidRPr="00EA454C" w14:paraId="52EB7ABA" w14:textId="77777777" w:rsidTr="00EA454C">
        <w:trPr>
          <w:trHeight w:val="882"/>
        </w:trPr>
        <w:tc>
          <w:tcPr>
            <w:tcW w:w="14295" w:type="dxa"/>
            <w:shd w:val="clear" w:color="auto" w:fill="auto"/>
          </w:tcPr>
          <w:p w14:paraId="6A016779" w14:textId="77777777" w:rsidR="002C2E1D" w:rsidRPr="00EA454C" w:rsidRDefault="002C2E1D" w:rsidP="00B42AD7">
            <w:pPr>
              <w:tabs>
                <w:tab w:val="left" w:pos="6062"/>
                <w:tab w:val="left" w:pos="11164"/>
                <w:tab w:val="left" w:pos="15276"/>
              </w:tabs>
              <w:jc w:val="both"/>
              <w:rPr>
                <w:sz w:val="22"/>
                <w:szCs w:val="22"/>
              </w:rPr>
            </w:pPr>
            <w:r w:rsidRPr="00EA454C">
              <w:rPr>
                <w:sz w:val="22"/>
                <w:szCs w:val="22"/>
              </w:rPr>
              <w:t xml:space="preserve">The main outcome </w:t>
            </w:r>
            <w:r w:rsidR="00B42AD7" w:rsidRPr="00EA454C">
              <w:rPr>
                <w:sz w:val="22"/>
                <w:szCs w:val="22"/>
              </w:rPr>
              <w:t xml:space="preserve">is </w:t>
            </w:r>
            <w:r w:rsidRPr="00EA454C">
              <w:rPr>
                <w:sz w:val="22"/>
                <w:szCs w:val="22"/>
              </w:rPr>
              <w:t xml:space="preserve"> for the Committee to determine</w:t>
            </w:r>
            <w:r w:rsidR="00FD1614" w:rsidRPr="00EA454C">
              <w:rPr>
                <w:sz w:val="22"/>
                <w:szCs w:val="22"/>
              </w:rPr>
              <w:t xml:space="preserve"> the content of the SEV Policy Statement including</w:t>
            </w:r>
            <w:r w:rsidRPr="00EA454C">
              <w:rPr>
                <w:sz w:val="22"/>
                <w:szCs w:val="22"/>
              </w:rPr>
              <w:t xml:space="preserve"> what the appropriate number of </w:t>
            </w:r>
            <w:r w:rsidR="00364FE1" w:rsidRPr="00EA454C">
              <w:rPr>
                <w:sz w:val="22"/>
                <w:szCs w:val="22"/>
              </w:rPr>
              <w:t xml:space="preserve">SEVs </w:t>
            </w:r>
            <w:r w:rsidRPr="00EA454C">
              <w:rPr>
                <w:sz w:val="22"/>
                <w:szCs w:val="22"/>
              </w:rPr>
              <w:t xml:space="preserve">in </w:t>
            </w:r>
            <w:r w:rsidR="00FD1614" w:rsidRPr="00EA454C">
              <w:rPr>
                <w:sz w:val="22"/>
                <w:szCs w:val="22"/>
              </w:rPr>
              <w:t xml:space="preserve">each relevant locality should be </w:t>
            </w:r>
            <w:r w:rsidR="00B42AD7" w:rsidRPr="00EA454C">
              <w:rPr>
                <w:sz w:val="22"/>
                <w:szCs w:val="22"/>
              </w:rPr>
              <w:t xml:space="preserve">and if grandfather rights should be given to those SEVs currently in existence at 24 March 2021, </w:t>
            </w:r>
            <w:r w:rsidR="00FD1614" w:rsidRPr="00EA454C">
              <w:rPr>
                <w:sz w:val="22"/>
                <w:szCs w:val="22"/>
              </w:rPr>
              <w:t>so th</w:t>
            </w:r>
            <w:r w:rsidR="00B42AD7" w:rsidRPr="00EA454C">
              <w:rPr>
                <w:sz w:val="22"/>
                <w:szCs w:val="22"/>
              </w:rPr>
              <w:t xml:space="preserve">e SEV Policy Statement </w:t>
            </w:r>
            <w:r w:rsidR="00FD1614" w:rsidRPr="00EA454C">
              <w:rPr>
                <w:sz w:val="22"/>
                <w:szCs w:val="22"/>
              </w:rPr>
              <w:t xml:space="preserve"> can be published within the required timescale under the 1982 Act. </w:t>
            </w:r>
            <w:r w:rsidRPr="00EA454C">
              <w:rPr>
                <w:sz w:val="22"/>
                <w:szCs w:val="22"/>
              </w:rPr>
              <w:t xml:space="preserve"> </w:t>
            </w:r>
          </w:p>
        </w:tc>
      </w:tr>
    </w:tbl>
    <w:p w14:paraId="2ED00F62" w14:textId="77777777" w:rsidR="00163A6F" w:rsidRPr="00EA454C" w:rsidRDefault="00163A6F" w:rsidP="00CE1909">
      <w:pPr>
        <w:tabs>
          <w:tab w:val="left" w:pos="6062"/>
          <w:tab w:val="left" w:pos="11164"/>
          <w:tab w:val="left" w:pos="15276"/>
        </w:tabs>
        <w:rPr>
          <w:sz w:val="22"/>
          <w:szCs w:val="22"/>
        </w:rPr>
      </w:pPr>
    </w:p>
    <w:p w14:paraId="1484F386" w14:textId="3B9F3D79" w:rsidR="00CE1909" w:rsidRDefault="00CE1909" w:rsidP="005272A9">
      <w:pPr>
        <w:numPr>
          <w:ilvl w:val="0"/>
          <w:numId w:val="4"/>
        </w:numPr>
        <w:tabs>
          <w:tab w:val="left" w:pos="6062"/>
          <w:tab w:val="left" w:pos="11164"/>
          <w:tab w:val="left" w:pos="15276"/>
        </w:tabs>
        <w:rPr>
          <w:sz w:val="22"/>
        </w:rPr>
      </w:pPr>
      <w:r>
        <w:rPr>
          <w:sz w:val="22"/>
        </w:rPr>
        <w:t xml:space="preserve">Name of officer completing assessment </w:t>
      </w:r>
      <w:r w:rsidR="00530518">
        <w:rPr>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14:paraId="406E4F09" w14:textId="77777777" w:rsidTr="00C87613">
        <w:tc>
          <w:tcPr>
            <w:tcW w:w="14295" w:type="dxa"/>
            <w:shd w:val="clear" w:color="auto" w:fill="auto"/>
          </w:tcPr>
          <w:p w14:paraId="65B734B7" w14:textId="77777777" w:rsidR="00530518" w:rsidRPr="00C87613" w:rsidRDefault="002C2E1D" w:rsidP="00C87613">
            <w:pPr>
              <w:tabs>
                <w:tab w:val="left" w:pos="6062"/>
                <w:tab w:val="left" w:pos="11164"/>
                <w:tab w:val="left" w:pos="15276"/>
              </w:tabs>
              <w:rPr>
                <w:sz w:val="22"/>
              </w:rPr>
            </w:pPr>
            <w:r>
              <w:rPr>
                <w:sz w:val="22"/>
              </w:rPr>
              <w:t xml:space="preserve">Gillian McNaught </w:t>
            </w:r>
            <w:r w:rsidR="00832FF2">
              <w:rPr>
                <w:sz w:val="22"/>
              </w:rPr>
              <w:t xml:space="preserve"> 3.3.22</w:t>
            </w:r>
          </w:p>
        </w:tc>
      </w:tr>
    </w:tbl>
    <w:p w14:paraId="0186FFB0" w14:textId="77777777" w:rsidR="00530518" w:rsidRPr="00EA454C" w:rsidRDefault="00530518" w:rsidP="00CE1909">
      <w:pPr>
        <w:tabs>
          <w:tab w:val="left" w:pos="6062"/>
          <w:tab w:val="left" w:pos="11164"/>
          <w:tab w:val="left" w:pos="15276"/>
        </w:tabs>
        <w:ind w:left="720"/>
        <w:rPr>
          <w:sz w:val="12"/>
          <w:szCs w:val="12"/>
        </w:rPr>
      </w:pPr>
    </w:p>
    <w:p w14:paraId="330BA28F" w14:textId="77777777" w:rsidR="00CE1909" w:rsidRDefault="00CE1909" w:rsidP="005272A9">
      <w:pPr>
        <w:numPr>
          <w:ilvl w:val="0"/>
          <w:numId w:val="4"/>
        </w:numPr>
        <w:tabs>
          <w:tab w:val="left" w:pos="6062"/>
          <w:tab w:val="left" w:pos="11164"/>
          <w:tab w:val="left" w:pos="15276"/>
        </w:tabs>
        <w:rPr>
          <w:sz w:val="22"/>
        </w:rPr>
      </w:pPr>
      <w:r>
        <w:rPr>
          <w:sz w:val="22"/>
        </w:rPr>
        <w:t xml:space="preserve">Assessment Verified by </w:t>
      </w:r>
      <w:r w:rsidR="00530518">
        <w:rPr>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14:paraId="6502D20C" w14:textId="77777777" w:rsidTr="00C87613">
        <w:tc>
          <w:tcPr>
            <w:tcW w:w="14295" w:type="dxa"/>
            <w:shd w:val="clear" w:color="auto" w:fill="auto"/>
          </w:tcPr>
          <w:p w14:paraId="13E57694" w14:textId="77777777" w:rsidR="00530518" w:rsidRPr="00C87613" w:rsidRDefault="002C2E1D" w:rsidP="00C87613">
            <w:pPr>
              <w:tabs>
                <w:tab w:val="left" w:pos="6062"/>
                <w:tab w:val="left" w:pos="11164"/>
                <w:tab w:val="left" w:pos="15276"/>
              </w:tabs>
              <w:rPr>
                <w:sz w:val="22"/>
              </w:rPr>
            </w:pPr>
            <w:r>
              <w:rPr>
                <w:sz w:val="22"/>
              </w:rPr>
              <w:t>Mairi Millar</w:t>
            </w:r>
            <w:r w:rsidR="00832FF2">
              <w:rPr>
                <w:sz w:val="22"/>
              </w:rPr>
              <w:t xml:space="preserve"> 3.3.22</w:t>
            </w:r>
          </w:p>
        </w:tc>
      </w:tr>
    </w:tbl>
    <w:p w14:paraId="3840FEBC" w14:textId="77777777" w:rsidR="00CE1909" w:rsidRDefault="00CE1909" w:rsidP="00CE1909">
      <w:pPr>
        <w:tabs>
          <w:tab w:val="left" w:pos="6062"/>
          <w:tab w:val="left" w:pos="11164"/>
          <w:tab w:val="left" w:pos="15276"/>
        </w:tabs>
        <w:ind w:left="720"/>
        <w:rPr>
          <w:sz w:val="22"/>
        </w:rPr>
      </w:pPr>
    </w:p>
    <w:p w14:paraId="30794D1C" w14:textId="77777777" w:rsidR="00530518" w:rsidRDefault="00530518" w:rsidP="00CE1909">
      <w:pPr>
        <w:pStyle w:val="Heading1"/>
        <w:sectPr w:rsidR="00530518" w:rsidSect="002101EA">
          <w:pgSz w:w="16838" w:h="11906" w:orient="landscape" w:code="9"/>
          <w:pgMar w:top="851" w:right="1440" w:bottom="1135" w:left="851" w:header="720" w:footer="720" w:gutter="0"/>
          <w:cols w:space="720"/>
        </w:sectPr>
      </w:pPr>
    </w:p>
    <w:p w14:paraId="08F78BF0" w14:textId="77777777" w:rsidR="00CE1909" w:rsidRPr="00B04CFA" w:rsidRDefault="00697CBC" w:rsidP="005272A9">
      <w:pPr>
        <w:pStyle w:val="Heading1"/>
        <w:numPr>
          <w:ilvl w:val="0"/>
          <w:numId w:val="8"/>
        </w:numPr>
        <w:rPr>
          <w:sz w:val="36"/>
          <w:szCs w:val="36"/>
        </w:rPr>
      </w:pPr>
      <w:r w:rsidRPr="00B04CFA">
        <w:rPr>
          <w:sz w:val="36"/>
          <w:szCs w:val="36"/>
        </w:rPr>
        <w:lastRenderedPageBreak/>
        <w:t xml:space="preserve">GATHERING </w:t>
      </w:r>
      <w:r w:rsidR="00716EFA" w:rsidRPr="00B04CFA">
        <w:rPr>
          <w:sz w:val="36"/>
          <w:szCs w:val="36"/>
        </w:rPr>
        <w:t xml:space="preserve">EVIDENCE &amp; </w:t>
      </w:r>
      <w:r w:rsidRPr="00B04CFA">
        <w:rPr>
          <w:sz w:val="36"/>
          <w:szCs w:val="36"/>
        </w:rPr>
        <w:t xml:space="preserve">STAKEHOLDER </w:t>
      </w:r>
      <w:r w:rsidR="00CE1909" w:rsidRPr="00B04CFA">
        <w:rPr>
          <w:sz w:val="36"/>
          <w:szCs w:val="36"/>
        </w:rPr>
        <w:t>ENGAGEMENT</w:t>
      </w:r>
    </w:p>
    <w:p w14:paraId="1BC022EC" w14:textId="77777777" w:rsidR="00A403D7" w:rsidRDefault="00A403D7" w:rsidP="00CE1909">
      <w:pPr>
        <w:rPr>
          <w:sz w:val="22"/>
        </w:rPr>
      </w:pPr>
    </w:p>
    <w:p w14:paraId="35087C12" w14:textId="77777777" w:rsidR="00CE1909" w:rsidRDefault="00CE1909" w:rsidP="00781F6A">
      <w:pPr>
        <w:ind w:left="360"/>
        <w:rPr>
          <w:sz w:val="22"/>
        </w:rPr>
      </w:pPr>
      <w:r>
        <w:rPr>
          <w:sz w:val="22"/>
        </w:rPr>
        <w:t xml:space="preserve">The best approach to find out if a policy, etc is likely to impact positively </w:t>
      </w:r>
      <w:r w:rsidR="00D70CD6">
        <w:rPr>
          <w:sz w:val="22"/>
        </w:rPr>
        <w:t xml:space="preserve">or negatively </w:t>
      </w:r>
      <w:r>
        <w:rPr>
          <w:sz w:val="22"/>
        </w:rPr>
        <w:t xml:space="preserve">on equality groups is to look at existing research, previous consultation recommendations, studies or consult with representatives of those groups.  </w:t>
      </w:r>
      <w:r w:rsidR="00D70CD6">
        <w:rPr>
          <w:sz w:val="22"/>
        </w:rPr>
        <w:t xml:space="preserve">You should list below any data, consultations (previous relevant or future planned), or any relevant research or analysis that supports the </w:t>
      </w:r>
      <w:r w:rsidR="00D70CD6" w:rsidRPr="00D70CD6">
        <w:rPr>
          <w:bCs/>
          <w:sz w:val="22"/>
          <w:szCs w:val="28"/>
        </w:rPr>
        <w:t>Policy, Project, Service Reform or Budget Option</w:t>
      </w:r>
      <w:r w:rsidR="00D70CD6">
        <w:rPr>
          <w:bCs/>
          <w:sz w:val="22"/>
          <w:szCs w:val="28"/>
        </w:rPr>
        <w:t xml:space="preserve"> being undertaken. </w:t>
      </w:r>
    </w:p>
    <w:p w14:paraId="27C4A9AC" w14:textId="77777777" w:rsidR="00CE1909" w:rsidRDefault="00CE1909" w:rsidP="00CE1909">
      <w:pPr>
        <w:rPr>
          <w:sz w:val="22"/>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5"/>
        <w:gridCol w:w="5670"/>
        <w:gridCol w:w="3190"/>
      </w:tblGrid>
      <w:tr w:rsidR="00CE1909" w14:paraId="224610A0" w14:textId="77777777" w:rsidTr="00814839">
        <w:tblPrEx>
          <w:tblCellMar>
            <w:top w:w="0" w:type="dxa"/>
            <w:bottom w:w="0" w:type="dxa"/>
          </w:tblCellMar>
        </w:tblPrEx>
        <w:tc>
          <w:tcPr>
            <w:tcW w:w="5835" w:type="dxa"/>
            <w:shd w:val="clear" w:color="auto" w:fill="C0C0C0"/>
          </w:tcPr>
          <w:p w14:paraId="3473D9CF" w14:textId="77777777" w:rsidR="00CE1909" w:rsidRPr="006D3284" w:rsidRDefault="00CE1909" w:rsidP="0021793B">
            <w:pPr>
              <w:rPr>
                <w:sz w:val="22"/>
              </w:rPr>
            </w:pPr>
            <w:r w:rsidRPr="006D3284">
              <w:rPr>
                <w:sz w:val="22"/>
              </w:rPr>
              <w:t>Please name any research, data, consultation or studies referred to for this assessment:</w:t>
            </w:r>
          </w:p>
        </w:tc>
        <w:tc>
          <w:tcPr>
            <w:tcW w:w="5670" w:type="dxa"/>
            <w:shd w:val="clear" w:color="auto" w:fill="C0C0C0"/>
          </w:tcPr>
          <w:p w14:paraId="190C4346" w14:textId="77777777" w:rsidR="00874EAF" w:rsidRDefault="00CE1909" w:rsidP="00874EAF">
            <w:pPr>
              <w:rPr>
                <w:rFonts w:cs="Arial"/>
                <w:szCs w:val="24"/>
              </w:rPr>
            </w:pPr>
            <w:r>
              <w:rPr>
                <w:sz w:val="22"/>
              </w:rPr>
              <w:t>Please state if this reference refers t</w:t>
            </w:r>
            <w:r w:rsidR="00874EAF">
              <w:rPr>
                <w:sz w:val="22"/>
              </w:rPr>
              <w:t>o one or more of the protected characteristics</w:t>
            </w:r>
            <w:r w:rsidR="00874EAF">
              <w:rPr>
                <w:rFonts w:cs="Arial"/>
                <w:szCs w:val="24"/>
              </w:rPr>
              <w:t>:</w:t>
            </w:r>
          </w:p>
          <w:p w14:paraId="067D9E8A" w14:textId="77777777" w:rsidR="00874EAF" w:rsidRDefault="00874EAF" w:rsidP="00874EAF">
            <w:pPr>
              <w:rPr>
                <w:rFonts w:cs="Arial"/>
                <w:szCs w:val="24"/>
              </w:rPr>
            </w:pPr>
          </w:p>
          <w:p w14:paraId="1C37B9E6" w14:textId="77777777" w:rsidR="00BC1931" w:rsidRDefault="00BC1931" w:rsidP="00874EAF">
            <w:pPr>
              <w:numPr>
                <w:ilvl w:val="0"/>
                <w:numId w:val="2"/>
              </w:numPr>
              <w:rPr>
                <w:rFonts w:cs="Arial"/>
                <w:sz w:val="22"/>
                <w:szCs w:val="22"/>
              </w:rPr>
            </w:pPr>
            <w:r>
              <w:rPr>
                <w:rFonts w:cs="Arial"/>
                <w:sz w:val="22"/>
                <w:szCs w:val="22"/>
              </w:rPr>
              <w:t>age</w:t>
            </w:r>
          </w:p>
          <w:p w14:paraId="20E37503" w14:textId="77777777" w:rsidR="00874EAF" w:rsidRPr="00874EAF" w:rsidRDefault="00874EAF" w:rsidP="00874EAF">
            <w:pPr>
              <w:numPr>
                <w:ilvl w:val="0"/>
                <w:numId w:val="2"/>
              </w:numPr>
              <w:rPr>
                <w:rFonts w:cs="Arial"/>
                <w:sz w:val="22"/>
                <w:szCs w:val="22"/>
              </w:rPr>
            </w:pPr>
            <w:r w:rsidRPr="00874EAF">
              <w:rPr>
                <w:rFonts w:cs="Arial"/>
                <w:sz w:val="22"/>
                <w:szCs w:val="22"/>
              </w:rPr>
              <w:t xml:space="preserve">disability, </w:t>
            </w:r>
          </w:p>
          <w:p w14:paraId="510CC05E" w14:textId="77777777" w:rsidR="00874EAF" w:rsidRPr="00874EAF" w:rsidRDefault="00874EAF" w:rsidP="00874EAF">
            <w:pPr>
              <w:numPr>
                <w:ilvl w:val="0"/>
                <w:numId w:val="2"/>
              </w:numPr>
              <w:rPr>
                <w:rFonts w:cs="Arial"/>
                <w:sz w:val="22"/>
                <w:szCs w:val="22"/>
              </w:rPr>
            </w:pPr>
            <w:r w:rsidRPr="00874EAF">
              <w:rPr>
                <w:rFonts w:cs="Arial"/>
                <w:sz w:val="22"/>
                <w:szCs w:val="22"/>
              </w:rPr>
              <w:t>race</w:t>
            </w:r>
            <w:r>
              <w:rPr>
                <w:rFonts w:cs="Arial"/>
                <w:sz w:val="22"/>
                <w:szCs w:val="22"/>
              </w:rPr>
              <w:t xml:space="preserve"> and/or ethnicity</w:t>
            </w:r>
            <w:r w:rsidRPr="00874EAF">
              <w:rPr>
                <w:rFonts w:cs="Arial"/>
                <w:sz w:val="22"/>
                <w:szCs w:val="22"/>
              </w:rPr>
              <w:t xml:space="preserve">, </w:t>
            </w:r>
          </w:p>
          <w:p w14:paraId="713CAC8A" w14:textId="77777777" w:rsidR="00874EAF" w:rsidRPr="00874EAF" w:rsidRDefault="00874EAF" w:rsidP="00874EAF">
            <w:pPr>
              <w:numPr>
                <w:ilvl w:val="0"/>
                <w:numId w:val="2"/>
              </w:numPr>
              <w:rPr>
                <w:rFonts w:cs="Arial"/>
                <w:sz w:val="22"/>
                <w:szCs w:val="22"/>
              </w:rPr>
            </w:pPr>
            <w:r w:rsidRPr="00874EAF">
              <w:rPr>
                <w:rFonts w:cs="Arial"/>
                <w:sz w:val="22"/>
                <w:szCs w:val="22"/>
              </w:rPr>
              <w:t xml:space="preserve">religion or belief (including lack of belief), </w:t>
            </w:r>
          </w:p>
          <w:p w14:paraId="3FB41488" w14:textId="77777777" w:rsidR="00874EAF" w:rsidRDefault="00874EAF" w:rsidP="00874EAF">
            <w:pPr>
              <w:numPr>
                <w:ilvl w:val="0"/>
                <w:numId w:val="2"/>
              </w:numPr>
              <w:rPr>
                <w:rFonts w:cs="Arial"/>
                <w:sz w:val="22"/>
                <w:szCs w:val="22"/>
              </w:rPr>
            </w:pPr>
            <w:r>
              <w:rPr>
                <w:rFonts w:cs="Arial"/>
                <w:sz w:val="22"/>
                <w:szCs w:val="22"/>
              </w:rPr>
              <w:t>gender</w:t>
            </w:r>
            <w:r w:rsidRPr="00874EAF">
              <w:rPr>
                <w:rFonts w:cs="Arial"/>
                <w:sz w:val="22"/>
                <w:szCs w:val="22"/>
              </w:rPr>
              <w:t xml:space="preserve">, </w:t>
            </w:r>
          </w:p>
          <w:p w14:paraId="7A847C8B" w14:textId="77777777" w:rsidR="00874EAF" w:rsidRPr="00874EAF" w:rsidRDefault="00874EAF" w:rsidP="00874EAF">
            <w:pPr>
              <w:numPr>
                <w:ilvl w:val="0"/>
                <w:numId w:val="2"/>
              </w:numPr>
              <w:rPr>
                <w:rFonts w:cs="Arial"/>
                <w:sz w:val="22"/>
                <w:szCs w:val="22"/>
              </w:rPr>
            </w:pPr>
            <w:r w:rsidRPr="00874EAF">
              <w:rPr>
                <w:rFonts w:cs="Arial"/>
                <w:sz w:val="22"/>
                <w:szCs w:val="22"/>
              </w:rPr>
              <w:t xml:space="preserve">gender reassignment, </w:t>
            </w:r>
          </w:p>
          <w:p w14:paraId="47AAEA37" w14:textId="77777777" w:rsidR="00CE1909" w:rsidRPr="00874EAF" w:rsidRDefault="00874EAF" w:rsidP="00874EAF">
            <w:pPr>
              <w:numPr>
                <w:ilvl w:val="0"/>
                <w:numId w:val="2"/>
              </w:numPr>
              <w:rPr>
                <w:rFonts w:cs="Arial"/>
                <w:sz w:val="22"/>
                <w:szCs w:val="22"/>
              </w:rPr>
            </w:pPr>
            <w:r w:rsidRPr="00874EAF">
              <w:rPr>
                <w:rFonts w:cs="Arial"/>
                <w:sz w:val="22"/>
                <w:szCs w:val="22"/>
              </w:rPr>
              <w:t>sexual orientation</w:t>
            </w:r>
          </w:p>
          <w:p w14:paraId="02E8146E" w14:textId="77777777" w:rsidR="00874EAF" w:rsidRPr="00874EAF" w:rsidRDefault="00874EAF" w:rsidP="00874EAF">
            <w:pPr>
              <w:numPr>
                <w:ilvl w:val="0"/>
                <w:numId w:val="2"/>
              </w:numPr>
              <w:rPr>
                <w:rFonts w:cs="Arial"/>
                <w:sz w:val="22"/>
                <w:szCs w:val="22"/>
              </w:rPr>
            </w:pPr>
            <w:r w:rsidRPr="00874EAF">
              <w:rPr>
                <w:rFonts w:cs="Arial"/>
                <w:sz w:val="22"/>
                <w:szCs w:val="22"/>
              </w:rPr>
              <w:t xml:space="preserve">marriage and civil partnership, </w:t>
            </w:r>
          </w:p>
          <w:p w14:paraId="530114A1" w14:textId="0F7BD14A" w:rsidR="00874EAF" w:rsidRPr="00EA454C" w:rsidRDefault="00874EAF" w:rsidP="00EA454C">
            <w:pPr>
              <w:numPr>
                <w:ilvl w:val="0"/>
                <w:numId w:val="2"/>
              </w:numPr>
              <w:rPr>
                <w:rFonts w:cs="Arial"/>
                <w:sz w:val="22"/>
                <w:szCs w:val="22"/>
              </w:rPr>
            </w:pPr>
            <w:r w:rsidRPr="00874EAF">
              <w:rPr>
                <w:rFonts w:cs="Arial"/>
                <w:sz w:val="22"/>
                <w:szCs w:val="22"/>
              </w:rPr>
              <w:t xml:space="preserve">pregnancy and maternity, </w:t>
            </w:r>
          </w:p>
        </w:tc>
        <w:tc>
          <w:tcPr>
            <w:tcW w:w="3190" w:type="dxa"/>
            <w:shd w:val="clear" w:color="auto" w:fill="C0C0C0"/>
          </w:tcPr>
          <w:p w14:paraId="5BAAC6DF" w14:textId="77777777" w:rsidR="00CE1909" w:rsidRDefault="00CE1909" w:rsidP="00D70CD6">
            <w:pPr>
              <w:rPr>
                <w:sz w:val="22"/>
              </w:rPr>
            </w:pPr>
            <w:r>
              <w:rPr>
                <w:sz w:val="22"/>
              </w:rPr>
              <w:t xml:space="preserve">Do you intend to set up your own consultation?  If so, please list the main issues that </w:t>
            </w:r>
            <w:r w:rsidR="00D70CD6">
              <w:rPr>
                <w:sz w:val="22"/>
              </w:rPr>
              <w:t>you wish to address if the consultation is planned; or if consultation has been completed, please note the out</w:t>
            </w:r>
            <w:r>
              <w:rPr>
                <w:sz w:val="22"/>
              </w:rPr>
              <w:t>come</w:t>
            </w:r>
            <w:r w:rsidR="00D70CD6">
              <w:rPr>
                <w:sz w:val="22"/>
              </w:rPr>
              <w:t>(s)</w:t>
            </w:r>
            <w:r>
              <w:rPr>
                <w:sz w:val="22"/>
              </w:rPr>
              <w:t xml:space="preserve"> </w:t>
            </w:r>
            <w:r w:rsidR="00D70CD6">
              <w:rPr>
                <w:sz w:val="22"/>
              </w:rPr>
              <w:t>of</w:t>
            </w:r>
            <w:r>
              <w:rPr>
                <w:sz w:val="22"/>
              </w:rPr>
              <w:t xml:space="preserve"> consultation.</w:t>
            </w:r>
          </w:p>
          <w:p w14:paraId="419C3FBD" w14:textId="77777777" w:rsidR="00D70CD6" w:rsidRDefault="00D70CD6" w:rsidP="00D70CD6">
            <w:pPr>
              <w:rPr>
                <w:sz w:val="22"/>
              </w:rPr>
            </w:pPr>
          </w:p>
        </w:tc>
      </w:tr>
      <w:tr w:rsidR="00CE1909" w14:paraId="56655686" w14:textId="77777777" w:rsidTr="00814839">
        <w:tblPrEx>
          <w:tblCellMar>
            <w:top w:w="0" w:type="dxa"/>
            <w:bottom w:w="0" w:type="dxa"/>
          </w:tblCellMar>
        </w:tblPrEx>
        <w:tc>
          <w:tcPr>
            <w:tcW w:w="5835" w:type="dxa"/>
          </w:tcPr>
          <w:p w14:paraId="74F8913B" w14:textId="77777777" w:rsidR="00CE1909" w:rsidRDefault="00CE1909" w:rsidP="0021793B">
            <w:pPr>
              <w:rPr>
                <w:sz w:val="22"/>
              </w:rPr>
            </w:pPr>
          </w:p>
          <w:p w14:paraId="7EE86CBB" w14:textId="77777777" w:rsidR="002C2E1D" w:rsidRPr="00B9491C" w:rsidRDefault="002C2E1D" w:rsidP="002C2E1D">
            <w:pPr>
              <w:jc w:val="both"/>
              <w:rPr>
                <w:rFonts w:cs="Arial"/>
                <w:sz w:val="22"/>
                <w:szCs w:val="22"/>
              </w:rPr>
            </w:pPr>
            <w:r w:rsidRPr="00B9491C">
              <w:rPr>
                <w:rFonts w:cs="Arial"/>
                <w:sz w:val="22"/>
                <w:szCs w:val="22"/>
              </w:rPr>
              <w:t xml:space="preserve">The Committee at its meeting on 17 April 2019 on the changes introduced by the 2015 Act referred to above, agreed to instruct the Director of Governance and Solicitor of the Council to carry out a public consultation and evidence gathering process in order to establish views on the following: </w:t>
            </w:r>
          </w:p>
          <w:p w14:paraId="35A03C25" w14:textId="77777777" w:rsidR="002C2E1D" w:rsidRPr="00B9491C" w:rsidRDefault="002C2E1D" w:rsidP="002C2E1D">
            <w:pPr>
              <w:pStyle w:val="ListParagraph"/>
              <w:numPr>
                <w:ilvl w:val="0"/>
                <w:numId w:val="26"/>
              </w:numPr>
              <w:contextualSpacing/>
              <w:jc w:val="both"/>
              <w:rPr>
                <w:rFonts w:cs="Arial"/>
                <w:sz w:val="22"/>
                <w:szCs w:val="22"/>
              </w:rPr>
            </w:pPr>
            <w:r w:rsidRPr="00B9491C">
              <w:rPr>
                <w:rFonts w:cs="Arial"/>
                <w:sz w:val="22"/>
                <w:szCs w:val="22"/>
              </w:rPr>
              <w:t>whether SEVs in Glasgow should be licensed;</w:t>
            </w:r>
          </w:p>
          <w:p w14:paraId="5F3014CE" w14:textId="77777777" w:rsidR="002C2E1D" w:rsidRPr="00B9491C" w:rsidRDefault="002C2E1D" w:rsidP="002C2E1D">
            <w:pPr>
              <w:pStyle w:val="ListParagraph"/>
              <w:numPr>
                <w:ilvl w:val="0"/>
                <w:numId w:val="26"/>
              </w:numPr>
              <w:contextualSpacing/>
              <w:jc w:val="both"/>
              <w:rPr>
                <w:rFonts w:cs="Arial"/>
                <w:sz w:val="22"/>
                <w:szCs w:val="22"/>
              </w:rPr>
            </w:pPr>
            <w:r w:rsidRPr="00B9491C">
              <w:rPr>
                <w:rFonts w:cs="Arial"/>
                <w:sz w:val="22"/>
                <w:szCs w:val="22"/>
              </w:rPr>
              <w:t>if licensed, what the appropriate number of SEVs for Glasgow should be; and</w:t>
            </w:r>
          </w:p>
          <w:p w14:paraId="529B19F9" w14:textId="77777777" w:rsidR="002C2E1D" w:rsidRPr="00B9491C" w:rsidRDefault="002C2E1D" w:rsidP="002C2E1D">
            <w:pPr>
              <w:pStyle w:val="ListParagraph"/>
              <w:numPr>
                <w:ilvl w:val="0"/>
                <w:numId w:val="26"/>
              </w:numPr>
              <w:contextualSpacing/>
              <w:jc w:val="both"/>
              <w:rPr>
                <w:rFonts w:cs="Arial"/>
                <w:sz w:val="22"/>
                <w:szCs w:val="22"/>
              </w:rPr>
            </w:pPr>
            <w:r w:rsidRPr="00B9491C">
              <w:rPr>
                <w:rFonts w:cs="Arial"/>
                <w:sz w:val="22"/>
                <w:szCs w:val="22"/>
              </w:rPr>
              <w:t>if licensed, what should be included in a SEV policy statement.</w:t>
            </w:r>
          </w:p>
          <w:p w14:paraId="234037F5" w14:textId="77777777" w:rsidR="00874EAF" w:rsidRPr="00B9491C" w:rsidRDefault="00874EAF" w:rsidP="0021793B">
            <w:pPr>
              <w:rPr>
                <w:rFonts w:cs="Arial"/>
                <w:sz w:val="22"/>
                <w:szCs w:val="22"/>
              </w:rPr>
            </w:pPr>
          </w:p>
          <w:p w14:paraId="71AF64F4" w14:textId="7BA39508" w:rsidR="002C2E1D" w:rsidRPr="00B9491C" w:rsidRDefault="002C2E1D" w:rsidP="0021793B">
            <w:pPr>
              <w:rPr>
                <w:rFonts w:cs="Arial"/>
                <w:sz w:val="22"/>
                <w:szCs w:val="22"/>
              </w:rPr>
            </w:pPr>
            <w:r w:rsidRPr="00B9491C">
              <w:rPr>
                <w:rFonts w:cs="Arial"/>
                <w:sz w:val="22"/>
                <w:szCs w:val="22"/>
              </w:rPr>
              <w:t xml:space="preserve">The Committee meeting and the Minute to this meeting </w:t>
            </w:r>
            <w:r w:rsidR="002C1003">
              <w:rPr>
                <w:rFonts w:cs="Arial"/>
                <w:sz w:val="22"/>
                <w:szCs w:val="22"/>
              </w:rPr>
              <w:t xml:space="preserve">are attached below and </w:t>
            </w:r>
            <w:r w:rsidRPr="00B9491C">
              <w:rPr>
                <w:rFonts w:cs="Arial"/>
                <w:sz w:val="22"/>
                <w:szCs w:val="22"/>
              </w:rPr>
              <w:t xml:space="preserve">can </w:t>
            </w:r>
            <w:r w:rsidR="002C1003">
              <w:rPr>
                <w:rFonts w:cs="Arial"/>
                <w:sz w:val="22"/>
                <w:szCs w:val="22"/>
              </w:rPr>
              <w:t xml:space="preserve">also </w:t>
            </w:r>
            <w:r w:rsidRPr="00B9491C">
              <w:rPr>
                <w:rFonts w:cs="Arial"/>
                <w:sz w:val="22"/>
                <w:szCs w:val="22"/>
              </w:rPr>
              <w:t xml:space="preserve">be viewed using the following link: </w:t>
            </w:r>
            <w:hyperlink r:id="rId15" w:history="1">
              <w:r w:rsidR="00EA454C" w:rsidRPr="002A22B8">
                <w:rPr>
                  <w:rStyle w:val="Hyperlink"/>
                  <w:rFonts w:cs="Arial"/>
                  <w:sz w:val="22"/>
                  <w:szCs w:val="22"/>
                </w:rPr>
                <w:t>www.glasgow.gov.uk/councillorsandcommittees/submissiondocuments.asp?submissionid=92785</w:t>
              </w:r>
            </w:hyperlink>
          </w:p>
          <w:p w14:paraId="70C0D242" w14:textId="77777777" w:rsidR="002C2E1D" w:rsidRPr="00EA454C" w:rsidRDefault="002C2E1D" w:rsidP="0021793B">
            <w:pPr>
              <w:rPr>
                <w:sz w:val="8"/>
                <w:szCs w:val="8"/>
              </w:rPr>
            </w:pPr>
          </w:p>
          <w:p w14:paraId="304F244A" w14:textId="5E8963DA" w:rsidR="002C2E1D" w:rsidRPr="00EA454C" w:rsidRDefault="009721A2" w:rsidP="0021793B">
            <w:pPr>
              <w:rPr>
                <w:sz w:val="8"/>
                <w:szCs w:val="8"/>
              </w:rPr>
            </w:pPr>
            <w:r>
              <w:rPr>
                <w:sz w:val="22"/>
              </w:rPr>
              <w:object w:dxaOrig="1550" w:dyaOrig="991" w14:anchorId="3BFCB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Link to document" style="width:77.4pt;height:49.8pt" o:ole="">
                  <v:imagedata r:id="rId16" o:title=""/>
                </v:shape>
                <o:OLEObject Type="Embed" ProgID="AcroExch.Document.2017" ShapeID="_x0000_i1031" DrawAspect="Icon" ObjectID="_1707895170" r:id="rId17"/>
              </w:object>
            </w:r>
            <w:r w:rsidR="00B9491C">
              <w:rPr>
                <w:sz w:val="22"/>
              </w:rPr>
              <w:t xml:space="preserve">  </w:t>
            </w:r>
            <w:r>
              <w:rPr>
                <w:sz w:val="22"/>
              </w:rPr>
              <w:object w:dxaOrig="1550" w:dyaOrig="991" w14:anchorId="6895EDDC">
                <v:shape id="_x0000_i1026" type="#_x0000_t75" alt="Link to document" style="width:77.4pt;height:49.8pt" o:ole="">
                  <v:imagedata r:id="rId18" o:title=""/>
                </v:shape>
                <o:OLEObject Type="Embed" ProgID="AcroExch.Document.2017" ShapeID="_x0000_i1026" DrawAspect="Icon" ObjectID="_1707895171" r:id="rId19"/>
              </w:object>
            </w:r>
          </w:p>
          <w:p w14:paraId="672FFD87" w14:textId="77777777" w:rsidR="00B9491C" w:rsidRPr="00EA454C" w:rsidRDefault="00B9491C" w:rsidP="0021793B">
            <w:pPr>
              <w:rPr>
                <w:sz w:val="8"/>
                <w:szCs w:val="8"/>
              </w:rPr>
            </w:pPr>
          </w:p>
          <w:p w14:paraId="371E0B4C" w14:textId="77777777" w:rsidR="00B9491C" w:rsidRDefault="00B9491C" w:rsidP="00814839">
            <w:pPr>
              <w:jc w:val="both"/>
              <w:rPr>
                <w:sz w:val="22"/>
              </w:rPr>
            </w:pPr>
            <w:r>
              <w:rPr>
                <w:sz w:val="22"/>
              </w:rPr>
              <w:t xml:space="preserve">The Committee </w:t>
            </w:r>
            <w:r w:rsidR="002C1003">
              <w:rPr>
                <w:sz w:val="22"/>
              </w:rPr>
              <w:t xml:space="preserve">after its meeting on 17 April 2019 </w:t>
            </w:r>
            <w:r w:rsidR="00814839">
              <w:rPr>
                <w:sz w:val="22"/>
              </w:rPr>
              <w:t xml:space="preserve">then </w:t>
            </w:r>
            <w:r>
              <w:rPr>
                <w:sz w:val="22"/>
              </w:rPr>
              <w:t xml:space="preserve">undertook a public consultation on the licensing and regulation of </w:t>
            </w:r>
            <w:r w:rsidR="002C1003">
              <w:rPr>
                <w:sz w:val="22"/>
              </w:rPr>
              <w:t xml:space="preserve">SEVs </w:t>
            </w:r>
            <w:r>
              <w:rPr>
                <w:sz w:val="22"/>
              </w:rPr>
              <w:t>in Glasgow from 31 May 2019 to 26 August 2</w:t>
            </w:r>
            <w:r w:rsidR="002C1003">
              <w:rPr>
                <w:sz w:val="22"/>
              </w:rPr>
              <w:t>019 (both dates inclusive). The</w:t>
            </w:r>
            <w:r>
              <w:rPr>
                <w:sz w:val="22"/>
              </w:rPr>
              <w:t xml:space="preserve"> consultation document can be viewed below: </w:t>
            </w:r>
          </w:p>
          <w:p w14:paraId="16A421A0" w14:textId="77777777" w:rsidR="00B9491C" w:rsidRPr="00EA454C" w:rsidRDefault="00B9491C" w:rsidP="0021793B">
            <w:pPr>
              <w:rPr>
                <w:sz w:val="8"/>
                <w:szCs w:val="8"/>
              </w:rPr>
            </w:pPr>
          </w:p>
          <w:bookmarkStart w:id="0" w:name="_MON_1631536647"/>
          <w:bookmarkEnd w:id="0"/>
          <w:p w14:paraId="31AAC7C0" w14:textId="594E1247" w:rsidR="00B9491C" w:rsidRDefault="009721A2" w:rsidP="0021793B">
            <w:pPr>
              <w:rPr>
                <w:sz w:val="22"/>
              </w:rPr>
            </w:pPr>
            <w:r>
              <w:rPr>
                <w:sz w:val="22"/>
              </w:rPr>
              <w:object w:dxaOrig="1550" w:dyaOrig="991" w14:anchorId="5AD2F566">
                <v:shape id="_x0000_i1027" type="#_x0000_t75" alt="Link to document" style="width:77.4pt;height:49.8pt;mso-position-vertical:absolute" o:ole="">
                  <v:imagedata r:id="rId20" o:title=""/>
                </v:shape>
                <o:OLEObject Type="Embed" ProgID="Word.Document.12" ShapeID="_x0000_i1027" DrawAspect="Icon" ObjectID="_1707895172" r:id="rId21">
                  <o:FieldCodes>\s</o:FieldCodes>
                </o:OLEObject>
              </w:object>
            </w:r>
          </w:p>
          <w:p w14:paraId="7FBDD54E" w14:textId="77777777" w:rsidR="00B9491C" w:rsidRPr="00EA454C" w:rsidRDefault="00B9491C" w:rsidP="0021793B">
            <w:pPr>
              <w:rPr>
                <w:sz w:val="8"/>
                <w:szCs w:val="8"/>
              </w:rPr>
            </w:pPr>
          </w:p>
          <w:p w14:paraId="30AD1942" w14:textId="77777777" w:rsidR="00B9491C" w:rsidRDefault="00B9491C" w:rsidP="00D465B9">
            <w:pPr>
              <w:jc w:val="both"/>
              <w:rPr>
                <w:sz w:val="22"/>
              </w:rPr>
            </w:pPr>
            <w:r>
              <w:rPr>
                <w:sz w:val="22"/>
              </w:rPr>
              <w:t xml:space="preserve">The consultation document was available on the Council’s webpage </w:t>
            </w:r>
            <w:r w:rsidR="00814839">
              <w:rPr>
                <w:sz w:val="22"/>
              </w:rPr>
              <w:t xml:space="preserve">for the full period of the consultation and a link to the consultation document was sent to the groups listed below, as </w:t>
            </w:r>
            <w:r w:rsidR="002C1003">
              <w:rPr>
                <w:sz w:val="22"/>
              </w:rPr>
              <w:t xml:space="preserve">consultees </w:t>
            </w:r>
            <w:r w:rsidR="00814839">
              <w:rPr>
                <w:sz w:val="22"/>
              </w:rPr>
              <w:t xml:space="preserve">agreed by Committee at its meeting on 17 April 2019. </w:t>
            </w:r>
          </w:p>
          <w:p w14:paraId="7BAEBFA1" w14:textId="77777777" w:rsidR="00814839" w:rsidRPr="00D465B9" w:rsidRDefault="00814839" w:rsidP="0021793B">
            <w:pPr>
              <w:rPr>
                <w:sz w:val="22"/>
                <w:szCs w:val="22"/>
              </w:rPr>
            </w:pPr>
          </w:p>
          <w:p w14:paraId="79FA8EB4" w14:textId="77777777" w:rsidR="00814839" w:rsidRPr="00D465B9" w:rsidRDefault="00814839" w:rsidP="00814839">
            <w:pPr>
              <w:numPr>
                <w:ilvl w:val="0"/>
                <w:numId w:val="27"/>
              </w:numPr>
              <w:rPr>
                <w:sz w:val="22"/>
                <w:szCs w:val="22"/>
              </w:rPr>
            </w:pPr>
            <w:r w:rsidRPr="00D465B9">
              <w:rPr>
                <w:sz w:val="22"/>
                <w:szCs w:val="22"/>
              </w:rPr>
              <w:t>SEV operators</w:t>
            </w:r>
          </w:p>
          <w:p w14:paraId="1C417C1D" w14:textId="77777777" w:rsidR="00814839" w:rsidRPr="00D465B9" w:rsidRDefault="00814839" w:rsidP="00814839">
            <w:pPr>
              <w:numPr>
                <w:ilvl w:val="0"/>
                <w:numId w:val="27"/>
              </w:numPr>
              <w:rPr>
                <w:sz w:val="22"/>
                <w:szCs w:val="22"/>
              </w:rPr>
            </w:pPr>
            <w:r w:rsidRPr="00D465B9">
              <w:rPr>
                <w:sz w:val="22"/>
                <w:szCs w:val="22"/>
              </w:rPr>
              <w:t>Neighbourhoods and Sustainability</w:t>
            </w:r>
          </w:p>
          <w:p w14:paraId="17432D98" w14:textId="77777777" w:rsidR="00814839" w:rsidRPr="00D465B9" w:rsidRDefault="00814839" w:rsidP="00814839">
            <w:pPr>
              <w:numPr>
                <w:ilvl w:val="0"/>
                <w:numId w:val="27"/>
              </w:numPr>
              <w:rPr>
                <w:sz w:val="22"/>
                <w:szCs w:val="22"/>
              </w:rPr>
            </w:pPr>
            <w:r w:rsidRPr="00D465B9">
              <w:rPr>
                <w:sz w:val="22"/>
                <w:szCs w:val="22"/>
              </w:rPr>
              <w:t xml:space="preserve">Elected Members, </w:t>
            </w:r>
          </w:p>
          <w:p w14:paraId="0738D785" w14:textId="77777777" w:rsidR="00814839" w:rsidRPr="00D465B9" w:rsidRDefault="00814839" w:rsidP="00814839">
            <w:pPr>
              <w:numPr>
                <w:ilvl w:val="0"/>
                <w:numId w:val="27"/>
              </w:numPr>
              <w:rPr>
                <w:sz w:val="22"/>
                <w:szCs w:val="22"/>
              </w:rPr>
            </w:pPr>
            <w:r w:rsidRPr="00D465B9">
              <w:rPr>
                <w:sz w:val="22"/>
                <w:szCs w:val="22"/>
              </w:rPr>
              <w:t xml:space="preserve">Community Councils </w:t>
            </w:r>
          </w:p>
          <w:p w14:paraId="2AB0BEBE" w14:textId="77777777" w:rsidR="00814839" w:rsidRPr="00D465B9" w:rsidRDefault="00814839" w:rsidP="00814839">
            <w:pPr>
              <w:numPr>
                <w:ilvl w:val="0"/>
                <w:numId w:val="27"/>
              </w:numPr>
              <w:rPr>
                <w:sz w:val="22"/>
                <w:szCs w:val="22"/>
              </w:rPr>
            </w:pPr>
            <w:r w:rsidRPr="00D465B9">
              <w:rPr>
                <w:sz w:val="22"/>
                <w:szCs w:val="22"/>
              </w:rPr>
              <w:t>Adult Protection Committee</w:t>
            </w:r>
          </w:p>
          <w:p w14:paraId="5992460E" w14:textId="77777777" w:rsidR="00814839" w:rsidRPr="00D465B9" w:rsidRDefault="00814839" w:rsidP="00814839">
            <w:pPr>
              <w:numPr>
                <w:ilvl w:val="0"/>
                <w:numId w:val="27"/>
              </w:numPr>
              <w:rPr>
                <w:sz w:val="22"/>
                <w:szCs w:val="22"/>
              </w:rPr>
            </w:pPr>
            <w:r w:rsidRPr="00D465B9">
              <w:rPr>
                <w:sz w:val="22"/>
                <w:szCs w:val="22"/>
              </w:rPr>
              <w:t>Child Protection Committee</w:t>
            </w:r>
          </w:p>
          <w:p w14:paraId="5B96686B" w14:textId="77777777" w:rsidR="00814839" w:rsidRPr="00D465B9" w:rsidRDefault="00814839" w:rsidP="00814839">
            <w:pPr>
              <w:numPr>
                <w:ilvl w:val="0"/>
                <w:numId w:val="27"/>
              </w:numPr>
              <w:rPr>
                <w:sz w:val="22"/>
                <w:szCs w:val="22"/>
              </w:rPr>
            </w:pPr>
            <w:r w:rsidRPr="00D465B9">
              <w:rPr>
                <w:sz w:val="22"/>
                <w:szCs w:val="22"/>
              </w:rPr>
              <w:t>Police Scotland</w:t>
            </w:r>
          </w:p>
          <w:p w14:paraId="3430A8D7" w14:textId="77777777" w:rsidR="00814839" w:rsidRPr="00D465B9" w:rsidRDefault="00814839" w:rsidP="00814839">
            <w:pPr>
              <w:numPr>
                <w:ilvl w:val="0"/>
                <w:numId w:val="27"/>
              </w:numPr>
              <w:rPr>
                <w:sz w:val="22"/>
                <w:szCs w:val="22"/>
              </w:rPr>
            </w:pPr>
            <w:r w:rsidRPr="00D465B9">
              <w:rPr>
                <w:sz w:val="22"/>
                <w:szCs w:val="22"/>
              </w:rPr>
              <w:t>Scottish Fire and Rescue Service</w:t>
            </w:r>
          </w:p>
          <w:p w14:paraId="49C9FD06" w14:textId="77777777" w:rsidR="00814839" w:rsidRPr="00D465B9" w:rsidRDefault="00814839" w:rsidP="00814839">
            <w:pPr>
              <w:numPr>
                <w:ilvl w:val="0"/>
                <w:numId w:val="27"/>
              </w:numPr>
              <w:rPr>
                <w:sz w:val="22"/>
                <w:szCs w:val="22"/>
              </w:rPr>
            </w:pPr>
            <w:r w:rsidRPr="00D465B9">
              <w:rPr>
                <w:sz w:val="22"/>
                <w:szCs w:val="22"/>
              </w:rPr>
              <w:t xml:space="preserve">NHS </w:t>
            </w:r>
          </w:p>
          <w:p w14:paraId="64FC9C81" w14:textId="77777777" w:rsidR="00814839" w:rsidRPr="00D465B9" w:rsidRDefault="00814839" w:rsidP="00814839">
            <w:pPr>
              <w:numPr>
                <w:ilvl w:val="0"/>
                <w:numId w:val="27"/>
              </w:numPr>
              <w:rPr>
                <w:sz w:val="22"/>
                <w:szCs w:val="22"/>
              </w:rPr>
            </w:pPr>
            <w:r w:rsidRPr="00D465B9">
              <w:rPr>
                <w:sz w:val="22"/>
                <w:szCs w:val="22"/>
              </w:rPr>
              <w:t>Employees in SEVs (via letter to the Premises Manager to share with the employees)</w:t>
            </w:r>
          </w:p>
          <w:p w14:paraId="4A0CEC16" w14:textId="77777777" w:rsidR="00814839" w:rsidRPr="00D465B9" w:rsidRDefault="00814839" w:rsidP="00814839">
            <w:pPr>
              <w:numPr>
                <w:ilvl w:val="0"/>
                <w:numId w:val="27"/>
              </w:numPr>
              <w:rPr>
                <w:sz w:val="22"/>
                <w:szCs w:val="22"/>
              </w:rPr>
            </w:pPr>
            <w:r w:rsidRPr="00D465B9">
              <w:rPr>
                <w:sz w:val="22"/>
                <w:szCs w:val="22"/>
              </w:rPr>
              <w:t>Violence against Women Partnerships</w:t>
            </w:r>
          </w:p>
          <w:p w14:paraId="6CC9DF0E" w14:textId="77777777" w:rsidR="00814839" w:rsidRPr="00D465B9" w:rsidRDefault="00814839" w:rsidP="00814839">
            <w:pPr>
              <w:pStyle w:val="Default"/>
              <w:numPr>
                <w:ilvl w:val="0"/>
                <w:numId w:val="27"/>
              </w:numPr>
              <w:rPr>
                <w:sz w:val="22"/>
                <w:szCs w:val="22"/>
              </w:rPr>
            </w:pPr>
            <w:r w:rsidRPr="00D465B9">
              <w:rPr>
                <w:sz w:val="22"/>
                <w:szCs w:val="22"/>
              </w:rPr>
              <w:t xml:space="preserve">GMB Sex Workers’ Union; </w:t>
            </w:r>
          </w:p>
          <w:p w14:paraId="177F1ED7" w14:textId="77777777" w:rsidR="00814839" w:rsidRPr="00D465B9" w:rsidRDefault="00814839" w:rsidP="00814839">
            <w:pPr>
              <w:pStyle w:val="Default"/>
              <w:numPr>
                <w:ilvl w:val="0"/>
                <w:numId w:val="27"/>
              </w:numPr>
              <w:rPr>
                <w:sz w:val="22"/>
                <w:szCs w:val="22"/>
              </w:rPr>
            </w:pPr>
            <w:r w:rsidRPr="00D465B9">
              <w:rPr>
                <w:sz w:val="22"/>
                <w:szCs w:val="22"/>
              </w:rPr>
              <w:t xml:space="preserve">International Committee on the Rights of Sex Workers in Europe (ICRSE); </w:t>
            </w:r>
          </w:p>
          <w:p w14:paraId="02CED03D" w14:textId="77777777" w:rsidR="00814839" w:rsidRPr="00D465B9" w:rsidRDefault="00814839" w:rsidP="00814839">
            <w:pPr>
              <w:pStyle w:val="Default"/>
              <w:numPr>
                <w:ilvl w:val="0"/>
                <w:numId w:val="27"/>
              </w:numPr>
              <w:rPr>
                <w:sz w:val="22"/>
                <w:szCs w:val="22"/>
              </w:rPr>
            </w:pPr>
            <w:r w:rsidRPr="00D465B9">
              <w:rPr>
                <w:sz w:val="22"/>
                <w:szCs w:val="22"/>
              </w:rPr>
              <w:t xml:space="preserve">Sex Worker Advocacy and Resistance Movement (SWARM) Collective; </w:t>
            </w:r>
          </w:p>
          <w:p w14:paraId="53175521" w14:textId="77777777" w:rsidR="00814839" w:rsidRPr="00D465B9" w:rsidRDefault="00814839" w:rsidP="00814839">
            <w:pPr>
              <w:pStyle w:val="Default"/>
              <w:numPr>
                <w:ilvl w:val="0"/>
                <w:numId w:val="27"/>
              </w:numPr>
              <w:rPr>
                <w:sz w:val="22"/>
                <w:szCs w:val="22"/>
              </w:rPr>
            </w:pPr>
            <w:r w:rsidRPr="00D465B9">
              <w:rPr>
                <w:sz w:val="22"/>
                <w:szCs w:val="22"/>
              </w:rPr>
              <w:t xml:space="preserve">SCOT-PEP; </w:t>
            </w:r>
          </w:p>
          <w:p w14:paraId="4129A9D5" w14:textId="77777777" w:rsidR="00814839" w:rsidRPr="00D465B9" w:rsidRDefault="00814839" w:rsidP="00814839">
            <w:pPr>
              <w:pStyle w:val="Default"/>
              <w:numPr>
                <w:ilvl w:val="0"/>
                <w:numId w:val="27"/>
              </w:numPr>
              <w:rPr>
                <w:sz w:val="22"/>
                <w:szCs w:val="22"/>
              </w:rPr>
            </w:pPr>
            <w:r w:rsidRPr="00D465B9">
              <w:rPr>
                <w:sz w:val="22"/>
                <w:szCs w:val="22"/>
              </w:rPr>
              <w:t xml:space="preserve">Umbrella Lane; and </w:t>
            </w:r>
          </w:p>
          <w:p w14:paraId="76652EDC" w14:textId="77777777" w:rsidR="00814839" w:rsidRPr="00D465B9" w:rsidRDefault="00814839" w:rsidP="00814839">
            <w:pPr>
              <w:numPr>
                <w:ilvl w:val="0"/>
                <w:numId w:val="27"/>
              </w:numPr>
              <w:rPr>
                <w:sz w:val="22"/>
                <w:szCs w:val="22"/>
              </w:rPr>
            </w:pPr>
            <w:r w:rsidRPr="00D465B9">
              <w:rPr>
                <w:sz w:val="22"/>
                <w:szCs w:val="22"/>
              </w:rPr>
              <w:t>Glasgow City Health and Social Care Partnership;</w:t>
            </w:r>
          </w:p>
          <w:p w14:paraId="22C3B000" w14:textId="77777777" w:rsidR="00874EAF" w:rsidRPr="00D465B9" w:rsidRDefault="00874EAF" w:rsidP="0021793B">
            <w:pPr>
              <w:rPr>
                <w:sz w:val="22"/>
                <w:szCs w:val="22"/>
              </w:rPr>
            </w:pPr>
          </w:p>
          <w:p w14:paraId="4843B010" w14:textId="77777777" w:rsidR="00814839" w:rsidRPr="00D465B9" w:rsidRDefault="00814839" w:rsidP="0021793B">
            <w:pPr>
              <w:rPr>
                <w:sz w:val="22"/>
                <w:szCs w:val="22"/>
              </w:rPr>
            </w:pPr>
            <w:r w:rsidRPr="00D465B9">
              <w:rPr>
                <w:sz w:val="22"/>
                <w:szCs w:val="22"/>
              </w:rPr>
              <w:t xml:space="preserve">The Committee received 279 responses from the consultation. </w:t>
            </w:r>
          </w:p>
          <w:p w14:paraId="09D3FF21" w14:textId="77777777" w:rsidR="00FD1614" w:rsidRDefault="00FD1614" w:rsidP="00FD1614">
            <w:pPr>
              <w:pStyle w:val="ListParagraph"/>
              <w:ind w:left="0"/>
              <w:contextualSpacing/>
              <w:jc w:val="both"/>
              <w:rPr>
                <w:sz w:val="22"/>
              </w:rPr>
            </w:pPr>
          </w:p>
          <w:p w14:paraId="24EF3F79" w14:textId="77777777" w:rsidR="00FD1614" w:rsidRPr="00D465B9" w:rsidRDefault="00FD1614" w:rsidP="008C28A4">
            <w:pPr>
              <w:pStyle w:val="ListParagraph"/>
              <w:ind w:left="0"/>
              <w:contextualSpacing/>
              <w:rPr>
                <w:rFonts w:cs="Arial"/>
                <w:sz w:val="22"/>
                <w:szCs w:val="22"/>
              </w:rPr>
            </w:pPr>
            <w:r w:rsidRPr="00D465B9">
              <w:rPr>
                <w:sz w:val="22"/>
                <w:szCs w:val="22"/>
              </w:rPr>
              <w:t xml:space="preserve">The Committee at its meeting on 24 March 2021 agreed to </w:t>
            </w:r>
            <w:r w:rsidRPr="00D465B9">
              <w:rPr>
                <w:rFonts w:cs="Arial"/>
                <w:sz w:val="22"/>
                <w:szCs w:val="22"/>
              </w:rPr>
              <w:t>pass a resolution to introduce a licensing regime for SEVs with effect from 24th September 2022, in terms of section 45B of the 1982 Act;  that no decision be taken on the appropriate number of SEVs in the city centre and outwith the city centre at this time but that the matter be considered at a future meeting; and instructed the then Director of Governance and Solicitor to the Council to prepare a draft SEV Policy Statement</w:t>
            </w:r>
            <w:r w:rsidRPr="00D465B9">
              <w:rPr>
                <w:rFonts w:cs="Arial"/>
                <w:b/>
                <w:bCs/>
                <w:sz w:val="22"/>
                <w:szCs w:val="22"/>
              </w:rPr>
              <w:t xml:space="preserve">  </w:t>
            </w:r>
            <w:r w:rsidRPr="00D465B9">
              <w:rPr>
                <w:rFonts w:cs="Arial"/>
                <w:sz w:val="22"/>
                <w:szCs w:val="22"/>
              </w:rPr>
              <w:t>(“</w:t>
            </w:r>
            <w:r w:rsidRPr="00D465B9">
              <w:rPr>
                <w:rFonts w:cs="Arial"/>
                <w:b/>
                <w:bCs/>
                <w:sz w:val="22"/>
                <w:szCs w:val="22"/>
              </w:rPr>
              <w:t>Policy Statement</w:t>
            </w:r>
            <w:r w:rsidRPr="00D465B9">
              <w:rPr>
                <w:rFonts w:cs="Arial"/>
                <w:sz w:val="22"/>
                <w:szCs w:val="22"/>
              </w:rPr>
              <w:t>”) for public consultation and to carry out an evidence gathering process on the said draft Policy Statement and to report back accordingly.</w:t>
            </w:r>
          </w:p>
          <w:p w14:paraId="0962DE6D" w14:textId="77777777" w:rsidR="00FD1614" w:rsidRPr="00D465B9" w:rsidRDefault="00FD1614" w:rsidP="00FD1614">
            <w:pPr>
              <w:pStyle w:val="ListParagraph"/>
              <w:ind w:left="0"/>
              <w:contextualSpacing/>
              <w:jc w:val="both"/>
              <w:rPr>
                <w:rFonts w:cs="Arial"/>
                <w:sz w:val="22"/>
                <w:szCs w:val="22"/>
              </w:rPr>
            </w:pPr>
          </w:p>
          <w:p w14:paraId="30FBAA6E" w14:textId="3D9C8B34" w:rsidR="00FD1614" w:rsidRPr="00D465B9" w:rsidRDefault="00FD1614" w:rsidP="008C28A4">
            <w:pPr>
              <w:pStyle w:val="ListParagraph"/>
              <w:ind w:left="0"/>
              <w:contextualSpacing/>
              <w:rPr>
                <w:rFonts w:cs="Arial"/>
                <w:sz w:val="22"/>
                <w:szCs w:val="22"/>
              </w:rPr>
            </w:pPr>
            <w:r w:rsidRPr="00D465B9">
              <w:rPr>
                <w:rFonts w:cs="Arial"/>
                <w:sz w:val="22"/>
                <w:szCs w:val="22"/>
              </w:rPr>
              <w:t xml:space="preserve">The Committee </w:t>
            </w:r>
            <w:r w:rsidR="00700928" w:rsidRPr="00D465B9">
              <w:rPr>
                <w:rFonts w:cs="Arial"/>
                <w:sz w:val="22"/>
                <w:szCs w:val="22"/>
              </w:rPr>
              <w:t xml:space="preserve">report </w:t>
            </w:r>
            <w:r w:rsidRPr="00D465B9">
              <w:rPr>
                <w:rFonts w:cs="Arial"/>
                <w:sz w:val="22"/>
                <w:szCs w:val="22"/>
              </w:rPr>
              <w:t xml:space="preserve">and the Minute to this meeting can also be viewed using the following link: </w:t>
            </w:r>
            <w:hyperlink r:id="rId22" w:history="1">
              <w:r w:rsidR="00EA454C" w:rsidRPr="002A22B8">
                <w:rPr>
                  <w:rStyle w:val="Hyperlink"/>
                  <w:rFonts w:cs="Arial"/>
                  <w:sz w:val="22"/>
                  <w:szCs w:val="22"/>
                </w:rPr>
                <w:t>www.glasgow.gov.uk/councillorsandcommittees/doDocumentSearchPublic.asp?selC=12&amp;DateFrom=24%2F03%2F2021&amp;DateTo=24%2F03%2F2021&amp;optD=&amp;txtKey=Enter+Keywords+Here&amp;chkP=s&amp;selO=DateDesc&amp;selD=10&amp;cmdSearch=Search&amp;url=DocumentSearchPublic.asp</w:t>
              </w:r>
            </w:hyperlink>
          </w:p>
          <w:p w14:paraId="41C60598" w14:textId="77777777" w:rsidR="00FD1614" w:rsidRPr="00D465B9" w:rsidRDefault="00FD1614" w:rsidP="00FD1614">
            <w:pPr>
              <w:pStyle w:val="ListParagraph"/>
              <w:ind w:left="0"/>
              <w:contextualSpacing/>
              <w:jc w:val="both"/>
              <w:rPr>
                <w:rFonts w:cs="Arial"/>
                <w:sz w:val="22"/>
                <w:szCs w:val="22"/>
              </w:rPr>
            </w:pPr>
          </w:p>
          <w:p w14:paraId="64D16492" w14:textId="77777777" w:rsidR="00700928" w:rsidRPr="00D465B9" w:rsidRDefault="00700928" w:rsidP="008C28A4">
            <w:pPr>
              <w:pStyle w:val="ListParagraph"/>
              <w:ind w:left="0"/>
              <w:contextualSpacing/>
              <w:rPr>
                <w:rFonts w:cs="Arial"/>
                <w:sz w:val="22"/>
                <w:szCs w:val="22"/>
              </w:rPr>
            </w:pPr>
            <w:r w:rsidRPr="00D465B9">
              <w:rPr>
                <w:rFonts w:cs="Arial"/>
                <w:sz w:val="22"/>
                <w:szCs w:val="22"/>
              </w:rPr>
              <w:t xml:space="preserve">Following the decision of the Committee on 24 March 2021 to pass a resolution to licence SEVs in Glasgow, the Committee extensively considered and discussed the responses to the initial consultation and evidence sessions and prepared the draft Policy Statement for public consultation. </w:t>
            </w:r>
          </w:p>
          <w:p w14:paraId="500C1266" w14:textId="77777777" w:rsidR="00700928" w:rsidRPr="00EA454C" w:rsidRDefault="00700928" w:rsidP="00700928">
            <w:pPr>
              <w:pStyle w:val="ListParagraph"/>
              <w:ind w:left="0" w:firstLine="720"/>
              <w:contextualSpacing/>
              <w:jc w:val="both"/>
              <w:rPr>
                <w:rFonts w:cs="Arial"/>
                <w:sz w:val="8"/>
                <w:szCs w:val="8"/>
              </w:rPr>
            </w:pPr>
          </w:p>
          <w:bookmarkStart w:id="1" w:name="_MON_1706953778"/>
          <w:bookmarkEnd w:id="1"/>
          <w:p w14:paraId="7A2AB954" w14:textId="131AD03A" w:rsidR="00700928" w:rsidRPr="00D465B9" w:rsidRDefault="009721A2" w:rsidP="00700928">
            <w:pPr>
              <w:pStyle w:val="ListParagraph"/>
              <w:ind w:left="0" w:firstLine="720"/>
              <w:contextualSpacing/>
              <w:jc w:val="both"/>
              <w:rPr>
                <w:rFonts w:cs="Arial"/>
                <w:sz w:val="22"/>
                <w:szCs w:val="22"/>
              </w:rPr>
            </w:pPr>
            <w:r w:rsidRPr="00D465B9">
              <w:rPr>
                <w:rFonts w:cs="Arial"/>
                <w:sz w:val="22"/>
                <w:szCs w:val="22"/>
              </w:rPr>
              <w:object w:dxaOrig="1508" w:dyaOrig="984" w14:anchorId="4AD7AF36">
                <v:shape id="_x0000_i1028" type="#_x0000_t75" alt="Link to document" style="width:75.6pt;height:49.2pt" o:ole="">
                  <v:imagedata r:id="rId23" o:title=""/>
                </v:shape>
                <o:OLEObject Type="Embed" ProgID="Word.Document.12" ShapeID="_x0000_i1028" DrawAspect="Icon" ObjectID="_1707895173" r:id="rId24">
                  <o:FieldCodes>\s</o:FieldCodes>
                </o:OLEObject>
              </w:object>
            </w:r>
          </w:p>
          <w:p w14:paraId="3C7F0786" w14:textId="77777777" w:rsidR="00700928" w:rsidRPr="00D465B9" w:rsidRDefault="00700928" w:rsidP="008C28A4">
            <w:pPr>
              <w:rPr>
                <w:sz w:val="22"/>
                <w:szCs w:val="22"/>
              </w:rPr>
            </w:pPr>
            <w:r w:rsidRPr="00D465B9">
              <w:rPr>
                <w:sz w:val="22"/>
                <w:szCs w:val="22"/>
              </w:rPr>
              <w:t xml:space="preserve">The consultation </w:t>
            </w:r>
            <w:r w:rsidR="00D465B9" w:rsidRPr="00D465B9">
              <w:rPr>
                <w:sz w:val="22"/>
                <w:szCs w:val="22"/>
              </w:rPr>
              <w:t xml:space="preserve">questionnaire was </w:t>
            </w:r>
            <w:r w:rsidRPr="00D465B9">
              <w:rPr>
                <w:sz w:val="22"/>
                <w:szCs w:val="22"/>
              </w:rPr>
              <w:t xml:space="preserve">available on the Council’s webpage </w:t>
            </w:r>
            <w:r w:rsidR="00D465B9" w:rsidRPr="00D465B9">
              <w:rPr>
                <w:sz w:val="22"/>
                <w:szCs w:val="22"/>
              </w:rPr>
              <w:t xml:space="preserve">(draft SEV policy statement and questionnaire) </w:t>
            </w:r>
            <w:r w:rsidRPr="00D465B9">
              <w:rPr>
                <w:sz w:val="22"/>
                <w:szCs w:val="22"/>
              </w:rPr>
              <w:t>for the full period of the consultation 1</w:t>
            </w:r>
            <w:r w:rsidR="00B42AD7">
              <w:rPr>
                <w:sz w:val="22"/>
                <w:szCs w:val="22"/>
              </w:rPr>
              <w:t>8</w:t>
            </w:r>
            <w:r w:rsidRPr="00D465B9">
              <w:rPr>
                <w:sz w:val="22"/>
                <w:szCs w:val="22"/>
              </w:rPr>
              <w:t xml:space="preserve"> June 2021 to 18 October 2021 (both dates inclusive) and a link to the consultation document was sent to the </w:t>
            </w:r>
            <w:r w:rsidR="001F3884" w:rsidRPr="00D465B9">
              <w:rPr>
                <w:sz w:val="22"/>
                <w:szCs w:val="22"/>
              </w:rPr>
              <w:t>following groups/organisations:</w:t>
            </w:r>
          </w:p>
          <w:p w14:paraId="705085BB" w14:textId="77777777" w:rsidR="001F3884" w:rsidRPr="00D465B9" w:rsidRDefault="001F3884" w:rsidP="00700928">
            <w:pPr>
              <w:rPr>
                <w:sz w:val="22"/>
                <w:szCs w:val="22"/>
              </w:rPr>
            </w:pPr>
          </w:p>
          <w:p w14:paraId="5C273FE8" w14:textId="77777777" w:rsidR="001F3884" w:rsidRPr="00D465B9" w:rsidRDefault="001F3884" w:rsidP="00700928">
            <w:pPr>
              <w:rPr>
                <w:rFonts w:cs="Arial"/>
                <w:sz w:val="22"/>
                <w:szCs w:val="22"/>
              </w:rPr>
            </w:pPr>
            <w:r w:rsidRPr="00D465B9">
              <w:rPr>
                <w:rFonts w:cs="Arial"/>
                <w:sz w:val="22"/>
                <w:szCs w:val="22"/>
              </w:rPr>
              <w:t xml:space="preserve">Say Women; </w:t>
            </w:r>
          </w:p>
          <w:p w14:paraId="68CB938D" w14:textId="77777777" w:rsidR="001F3884" w:rsidRPr="00D465B9" w:rsidRDefault="001F3884" w:rsidP="00700928">
            <w:pPr>
              <w:rPr>
                <w:rFonts w:cs="Arial"/>
                <w:sz w:val="22"/>
                <w:szCs w:val="22"/>
              </w:rPr>
            </w:pPr>
            <w:r w:rsidRPr="00D465B9">
              <w:rPr>
                <w:rFonts w:cs="Arial"/>
                <w:sz w:val="22"/>
                <w:szCs w:val="22"/>
              </w:rPr>
              <w:t xml:space="preserve">Rape Crisis; </w:t>
            </w:r>
          </w:p>
          <w:p w14:paraId="64E8741E" w14:textId="77777777" w:rsidR="001F3884" w:rsidRPr="00D465B9" w:rsidRDefault="001F3884" w:rsidP="00700928">
            <w:pPr>
              <w:rPr>
                <w:rFonts w:cs="Arial"/>
                <w:sz w:val="22"/>
                <w:szCs w:val="22"/>
              </w:rPr>
            </w:pPr>
            <w:r w:rsidRPr="00D465B9">
              <w:rPr>
                <w:rFonts w:cs="Arial"/>
                <w:sz w:val="22"/>
                <w:szCs w:val="22"/>
              </w:rPr>
              <w:t xml:space="preserve">The Daisy Project; </w:t>
            </w:r>
          </w:p>
          <w:p w14:paraId="44BB9251" w14:textId="77777777" w:rsidR="001F3884" w:rsidRPr="00D465B9" w:rsidRDefault="001F3884" w:rsidP="00700928">
            <w:pPr>
              <w:rPr>
                <w:rFonts w:cs="Arial"/>
                <w:sz w:val="22"/>
                <w:szCs w:val="22"/>
              </w:rPr>
            </w:pPr>
            <w:r w:rsidRPr="00D465B9">
              <w:rPr>
                <w:rFonts w:cs="Arial"/>
                <w:sz w:val="22"/>
                <w:szCs w:val="22"/>
              </w:rPr>
              <w:t xml:space="preserve">Wise Women; </w:t>
            </w:r>
          </w:p>
          <w:p w14:paraId="6AE90B15" w14:textId="77777777" w:rsidR="001F3884" w:rsidRPr="00D465B9" w:rsidRDefault="001F3884" w:rsidP="00700928">
            <w:pPr>
              <w:rPr>
                <w:rFonts w:cs="Arial"/>
                <w:sz w:val="22"/>
                <w:szCs w:val="22"/>
              </w:rPr>
            </w:pPr>
            <w:r w:rsidRPr="00D465B9">
              <w:rPr>
                <w:rFonts w:cs="Arial"/>
                <w:sz w:val="22"/>
                <w:szCs w:val="22"/>
              </w:rPr>
              <w:t xml:space="preserve">Scottish Women’s Convention; </w:t>
            </w:r>
          </w:p>
          <w:p w14:paraId="095B26C8" w14:textId="77777777" w:rsidR="001F3884" w:rsidRPr="00D465B9" w:rsidRDefault="001F3884" w:rsidP="00700928">
            <w:pPr>
              <w:rPr>
                <w:rFonts w:cs="Arial"/>
                <w:sz w:val="22"/>
                <w:szCs w:val="22"/>
              </w:rPr>
            </w:pPr>
            <w:r w:rsidRPr="00D465B9">
              <w:rPr>
                <w:rFonts w:cs="Arial"/>
                <w:sz w:val="22"/>
                <w:szCs w:val="22"/>
              </w:rPr>
              <w:t xml:space="preserve">United Voices of the World Union; </w:t>
            </w:r>
          </w:p>
          <w:p w14:paraId="08EB8DC4" w14:textId="77777777" w:rsidR="001F3884" w:rsidRPr="00D465B9" w:rsidRDefault="001F3884" w:rsidP="00700928">
            <w:pPr>
              <w:rPr>
                <w:rFonts w:cs="Arial"/>
                <w:sz w:val="22"/>
                <w:szCs w:val="22"/>
              </w:rPr>
            </w:pPr>
            <w:r w:rsidRPr="00D465B9">
              <w:rPr>
                <w:rFonts w:cs="Arial"/>
                <w:sz w:val="22"/>
                <w:szCs w:val="22"/>
              </w:rPr>
              <w:t xml:space="preserve">GMB Union; </w:t>
            </w:r>
          </w:p>
          <w:p w14:paraId="4FAA5A24" w14:textId="77777777" w:rsidR="001F3884" w:rsidRPr="00D465B9" w:rsidRDefault="001F3884" w:rsidP="00700928">
            <w:pPr>
              <w:rPr>
                <w:rFonts w:cs="Arial"/>
                <w:sz w:val="22"/>
                <w:szCs w:val="22"/>
              </w:rPr>
            </w:pPr>
            <w:r w:rsidRPr="00D465B9">
              <w:rPr>
                <w:rFonts w:cs="Arial"/>
                <w:sz w:val="22"/>
                <w:szCs w:val="22"/>
              </w:rPr>
              <w:t xml:space="preserve">Glasgow City Health and Social Care Partnership, </w:t>
            </w:r>
          </w:p>
          <w:p w14:paraId="5550EAEC" w14:textId="77777777" w:rsidR="001F3884" w:rsidRPr="00D465B9" w:rsidRDefault="001F3884" w:rsidP="00700928">
            <w:pPr>
              <w:rPr>
                <w:rFonts w:cs="Arial"/>
                <w:sz w:val="22"/>
                <w:szCs w:val="22"/>
              </w:rPr>
            </w:pPr>
            <w:r w:rsidRPr="00D465B9">
              <w:rPr>
                <w:rFonts w:cs="Arial"/>
                <w:sz w:val="22"/>
                <w:szCs w:val="22"/>
              </w:rPr>
              <w:t xml:space="preserve">Glasgow Violence Against Women; and </w:t>
            </w:r>
          </w:p>
          <w:p w14:paraId="1C514364" w14:textId="77777777" w:rsidR="001F3884" w:rsidRPr="00D465B9" w:rsidRDefault="001F3884" w:rsidP="00700928">
            <w:pPr>
              <w:rPr>
                <w:rFonts w:cs="Arial"/>
                <w:sz w:val="22"/>
                <w:szCs w:val="22"/>
              </w:rPr>
            </w:pPr>
            <w:r w:rsidRPr="00D465B9">
              <w:rPr>
                <w:rFonts w:cs="Arial"/>
                <w:sz w:val="22"/>
                <w:szCs w:val="22"/>
              </w:rPr>
              <w:t>Licensing Agents (who attended the evidence sessions in January 2020).</w:t>
            </w:r>
          </w:p>
          <w:p w14:paraId="74931D21" w14:textId="77777777" w:rsidR="001F3884" w:rsidRPr="00D465B9" w:rsidRDefault="001F3884" w:rsidP="00700928">
            <w:pPr>
              <w:rPr>
                <w:rFonts w:cs="Arial"/>
                <w:sz w:val="22"/>
                <w:szCs w:val="22"/>
              </w:rPr>
            </w:pPr>
          </w:p>
          <w:p w14:paraId="4AD177F8" w14:textId="77777777" w:rsidR="001F3884" w:rsidRPr="00D465B9" w:rsidRDefault="001F3884" w:rsidP="00700928">
            <w:pPr>
              <w:rPr>
                <w:rFonts w:cs="Arial"/>
                <w:sz w:val="22"/>
                <w:szCs w:val="22"/>
              </w:rPr>
            </w:pPr>
            <w:r w:rsidRPr="00D465B9">
              <w:rPr>
                <w:rFonts w:cs="Arial"/>
                <w:sz w:val="22"/>
                <w:szCs w:val="22"/>
              </w:rPr>
              <w:t xml:space="preserve">The questions asked </w:t>
            </w:r>
            <w:r w:rsidR="00D465B9" w:rsidRPr="00D465B9">
              <w:rPr>
                <w:rFonts w:cs="Arial"/>
                <w:sz w:val="22"/>
                <w:szCs w:val="22"/>
              </w:rPr>
              <w:t xml:space="preserve">can be viewed below: </w:t>
            </w:r>
          </w:p>
          <w:p w14:paraId="60F43E08" w14:textId="77777777" w:rsidR="00D465B9" w:rsidRPr="00D465B9" w:rsidRDefault="00D465B9" w:rsidP="00700928">
            <w:pPr>
              <w:rPr>
                <w:rFonts w:cs="Arial"/>
                <w:sz w:val="22"/>
                <w:szCs w:val="22"/>
              </w:rPr>
            </w:pPr>
          </w:p>
          <w:bookmarkStart w:id="2" w:name="_MON_1706954531"/>
          <w:bookmarkEnd w:id="2"/>
          <w:p w14:paraId="14FCAA0D" w14:textId="0C9ED9EB" w:rsidR="00D465B9" w:rsidRPr="00D465B9" w:rsidRDefault="009721A2" w:rsidP="00700928">
            <w:pPr>
              <w:rPr>
                <w:sz w:val="22"/>
                <w:szCs w:val="22"/>
              </w:rPr>
            </w:pPr>
            <w:r w:rsidRPr="00D465B9">
              <w:rPr>
                <w:sz w:val="22"/>
                <w:szCs w:val="22"/>
              </w:rPr>
              <w:object w:dxaOrig="1508" w:dyaOrig="984" w14:anchorId="7B816F29">
                <v:shape id="_x0000_i1029" type="#_x0000_t75" alt="Link to document" style="width:75.6pt;height:49.2pt" o:ole="">
                  <v:imagedata r:id="rId25" o:title=""/>
                </v:shape>
                <o:OLEObject Type="Embed" ProgID="Word.Document.12" ShapeID="_x0000_i1029" DrawAspect="Icon" ObjectID="_1707895174" r:id="rId26">
                  <o:FieldCodes>\s</o:FieldCodes>
                </o:OLEObject>
              </w:object>
            </w:r>
          </w:p>
          <w:p w14:paraId="3C1472D7" w14:textId="77777777" w:rsidR="00FD1614" w:rsidRPr="00D465B9" w:rsidRDefault="00FD1614" w:rsidP="00700928">
            <w:pPr>
              <w:tabs>
                <w:tab w:val="left" w:pos="1070"/>
              </w:tabs>
              <w:rPr>
                <w:sz w:val="22"/>
                <w:szCs w:val="22"/>
              </w:rPr>
            </w:pPr>
          </w:p>
          <w:p w14:paraId="78043BAD" w14:textId="4837BBF8" w:rsidR="00700928" w:rsidRPr="00EA454C" w:rsidRDefault="001F3884" w:rsidP="00700928">
            <w:pPr>
              <w:tabs>
                <w:tab w:val="left" w:pos="1070"/>
              </w:tabs>
              <w:rPr>
                <w:sz w:val="22"/>
                <w:szCs w:val="22"/>
              </w:rPr>
            </w:pPr>
            <w:r w:rsidRPr="00D465B9">
              <w:rPr>
                <w:sz w:val="22"/>
                <w:szCs w:val="22"/>
              </w:rPr>
              <w:t xml:space="preserve">The Committee received 167 responses to the consultation. </w:t>
            </w:r>
          </w:p>
        </w:tc>
        <w:tc>
          <w:tcPr>
            <w:tcW w:w="5670" w:type="dxa"/>
          </w:tcPr>
          <w:p w14:paraId="557246B2" w14:textId="77777777" w:rsidR="00CE1909" w:rsidRDefault="00CE1909" w:rsidP="0021793B">
            <w:pPr>
              <w:rPr>
                <w:sz w:val="22"/>
              </w:rPr>
            </w:pPr>
          </w:p>
          <w:p w14:paraId="1C0EF568" w14:textId="77777777" w:rsidR="007B7F16" w:rsidRDefault="002C1003" w:rsidP="0021793B">
            <w:pPr>
              <w:rPr>
                <w:sz w:val="22"/>
              </w:rPr>
            </w:pPr>
            <w:r>
              <w:rPr>
                <w:sz w:val="22"/>
              </w:rPr>
              <w:t xml:space="preserve">Yes, it refers to all of the above protected characteristics. </w:t>
            </w:r>
          </w:p>
        </w:tc>
        <w:tc>
          <w:tcPr>
            <w:tcW w:w="3190" w:type="dxa"/>
          </w:tcPr>
          <w:p w14:paraId="04E948FD" w14:textId="77777777" w:rsidR="007B7F16" w:rsidRPr="001742F6" w:rsidRDefault="007B7F16" w:rsidP="0021793B">
            <w:pPr>
              <w:rPr>
                <w:sz w:val="22"/>
              </w:rPr>
            </w:pPr>
          </w:p>
          <w:p w14:paraId="04A1B9DA" w14:textId="77777777" w:rsidR="00CE1909" w:rsidRPr="001742F6" w:rsidRDefault="00814839" w:rsidP="00364FE1">
            <w:pPr>
              <w:jc w:val="both"/>
              <w:rPr>
                <w:sz w:val="22"/>
              </w:rPr>
            </w:pPr>
            <w:r w:rsidRPr="001742F6">
              <w:rPr>
                <w:sz w:val="22"/>
              </w:rPr>
              <w:t xml:space="preserve">The Committee will undertake Evidence Sessions prior to making a decision on whether to licence </w:t>
            </w:r>
            <w:r w:rsidR="002C1003" w:rsidRPr="001742F6">
              <w:rPr>
                <w:sz w:val="22"/>
              </w:rPr>
              <w:t xml:space="preserve">SEVs in Glasgow. </w:t>
            </w:r>
            <w:r w:rsidRPr="001742F6">
              <w:rPr>
                <w:sz w:val="22"/>
              </w:rPr>
              <w:t xml:space="preserve"> The</w:t>
            </w:r>
            <w:r w:rsidR="002C1003" w:rsidRPr="001742F6">
              <w:rPr>
                <w:sz w:val="22"/>
              </w:rPr>
              <w:t>re will be several  Evidence S</w:t>
            </w:r>
            <w:r w:rsidRPr="001742F6">
              <w:rPr>
                <w:sz w:val="22"/>
              </w:rPr>
              <w:t xml:space="preserve">essions </w:t>
            </w:r>
            <w:r w:rsidR="002C1003" w:rsidRPr="001742F6">
              <w:rPr>
                <w:sz w:val="22"/>
              </w:rPr>
              <w:t xml:space="preserve">where groups will be invited (SEVs operators/SEV workers/ SEV Unions/ Charities/Community Councils/ members of the public/ Academics etc) </w:t>
            </w:r>
            <w:r w:rsidR="00C4246A" w:rsidRPr="001742F6">
              <w:rPr>
                <w:sz w:val="22"/>
              </w:rPr>
              <w:t xml:space="preserve">and these sessions </w:t>
            </w:r>
            <w:r w:rsidRPr="001742F6">
              <w:rPr>
                <w:sz w:val="22"/>
              </w:rPr>
              <w:t xml:space="preserve">will take place prior to December 2019. </w:t>
            </w:r>
          </w:p>
          <w:p w14:paraId="4B638C8D" w14:textId="77777777" w:rsidR="007B7F16" w:rsidRPr="001742F6" w:rsidRDefault="007B7F16" w:rsidP="0021793B">
            <w:pPr>
              <w:rPr>
                <w:sz w:val="22"/>
              </w:rPr>
            </w:pPr>
          </w:p>
          <w:p w14:paraId="4513EB71" w14:textId="77777777" w:rsidR="006879A9" w:rsidRPr="001742F6" w:rsidRDefault="007B7F16" w:rsidP="00364FE1">
            <w:pPr>
              <w:jc w:val="both"/>
              <w:rPr>
                <w:sz w:val="22"/>
              </w:rPr>
            </w:pPr>
            <w:r w:rsidRPr="001742F6">
              <w:rPr>
                <w:sz w:val="22"/>
              </w:rPr>
              <w:t xml:space="preserve">All individuals who submitted a response to the consultation will be invited to attend an evidence session. </w:t>
            </w:r>
          </w:p>
          <w:p w14:paraId="283C2F4F" w14:textId="77777777" w:rsidR="006879A9" w:rsidRPr="001742F6" w:rsidRDefault="006879A9" w:rsidP="006879A9">
            <w:pPr>
              <w:rPr>
                <w:sz w:val="22"/>
              </w:rPr>
            </w:pPr>
          </w:p>
          <w:p w14:paraId="27EFBAB3" w14:textId="77777777" w:rsidR="006879A9" w:rsidRPr="001742F6" w:rsidRDefault="006879A9" w:rsidP="006879A9">
            <w:pPr>
              <w:rPr>
                <w:sz w:val="22"/>
              </w:rPr>
            </w:pPr>
          </w:p>
          <w:p w14:paraId="32DA2611" w14:textId="77777777" w:rsidR="001742F6" w:rsidRPr="001742F6" w:rsidRDefault="001742F6" w:rsidP="00691BEB">
            <w:pPr>
              <w:jc w:val="both"/>
              <w:rPr>
                <w:b/>
                <w:sz w:val="22"/>
                <w:u w:val="single"/>
              </w:rPr>
            </w:pPr>
            <w:r w:rsidRPr="001742F6">
              <w:rPr>
                <w:b/>
                <w:sz w:val="22"/>
                <w:u w:val="single"/>
              </w:rPr>
              <w:t>Post Evidence Session</w:t>
            </w:r>
            <w:r>
              <w:rPr>
                <w:b/>
                <w:sz w:val="22"/>
                <w:u w:val="single"/>
              </w:rPr>
              <w:t>s</w:t>
            </w:r>
            <w:r w:rsidRPr="001742F6">
              <w:rPr>
                <w:b/>
                <w:sz w:val="22"/>
                <w:u w:val="single"/>
              </w:rPr>
              <w:t>:</w:t>
            </w:r>
          </w:p>
          <w:p w14:paraId="75F32720" w14:textId="77777777" w:rsidR="007B7F16" w:rsidRPr="001742F6" w:rsidRDefault="006879A9" w:rsidP="00691BEB">
            <w:pPr>
              <w:jc w:val="both"/>
              <w:rPr>
                <w:sz w:val="22"/>
              </w:rPr>
            </w:pPr>
            <w:r w:rsidRPr="001742F6">
              <w:rPr>
                <w:sz w:val="22"/>
              </w:rPr>
              <w:t xml:space="preserve">The Committee carried out </w:t>
            </w:r>
            <w:r w:rsidR="00691BEB" w:rsidRPr="001742F6">
              <w:rPr>
                <w:sz w:val="22"/>
              </w:rPr>
              <w:t xml:space="preserve">the following evidence sessions, each session lasting two hours, </w:t>
            </w:r>
            <w:r w:rsidRPr="001742F6">
              <w:rPr>
                <w:sz w:val="22"/>
              </w:rPr>
              <w:t xml:space="preserve">where they further explored the consultation response submitted from the organisation. </w:t>
            </w:r>
          </w:p>
          <w:p w14:paraId="0C30E55F" w14:textId="77777777" w:rsidR="006879A9" w:rsidRPr="001742F6" w:rsidRDefault="006879A9" w:rsidP="006879A9">
            <w:pPr>
              <w:rPr>
                <w:sz w:val="22"/>
              </w:rPr>
            </w:pPr>
          </w:p>
          <w:p w14:paraId="4ADC32F8" w14:textId="77777777" w:rsidR="006879A9" w:rsidRPr="001742F6" w:rsidRDefault="006879A9" w:rsidP="006879A9">
            <w:pPr>
              <w:rPr>
                <w:sz w:val="22"/>
                <w:u w:val="single"/>
              </w:rPr>
            </w:pPr>
            <w:r w:rsidRPr="001742F6">
              <w:rPr>
                <w:sz w:val="22"/>
                <w:u w:val="single"/>
              </w:rPr>
              <w:t xml:space="preserve">Monday 20 January </w:t>
            </w:r>
            <w:r w:rsidR="00BF303C" w:rsidRPr="001742F6">
              <w:rPr>
                <w:sz w:val="22"/>
                <w:u w:val="single"/>
              </w:rPr>
              <w:t>(pm) 2020</w:t>
            </w:r>
          </w:p>
          <w:p w14:paraId="7C9C3C8A" w14:textId="77777777" w:rsidR="006879A9" w:rsidRPr="001742F6" w:rsidRDefault="006879A9" w:rsidP="006879A9">
            <w:pPr>
              <w:pStyle w:val="ListParagraph"/>
              <w:numPr>
                <w:ilvl w:val="0"/>
                <w:numId w:val="28"/>
              </w:numPr>
              <w:rPr>
                <w:rFonts w:cs="Arial"/>
                <w:sz w:val="22"/>
                <w:szCs w:val="22"/>
              </w:rPr>
            </w:pPr>
            <w:r w:rsidRPr="001742F6">
              <w:rPr>
                <w:rFonts w:cs="Arial"/>
                <w:sz w:val="22"/>
                <w:szCs w:val="22"/>
              </w:rPr>
              <w:t>Glasgow &amp; Clyde Rape Crisis;</w:t>
            </w:r>
          </w:p>
          <w:p w14:paraId="10CB8248" w14:textId="77777777" w:rsidR="006879A9" w:rsidRPr="001742F6" w:rsidRDefault="006879A9" w:rsidP="006879A9">
            <w:pPr>
              <w:pStyle w:val="ListParagraph"/>
              <w:numPr>
                <w:ilvl w:val="0"/>
                <w:numId w:val="28"/>
              </w:numPr>
              <w:rPr>
                <w:rFonts w:cs="Arial"/>
                <w:sz w:val="22"/>
                <w:szCs w:val="22"/>
              </w:rPr>
            </w:pPr>
            <w:r w:rsidRPr="001742F6">
              <w:rPr>
                <w:rFonts w:cs="Arial"/>
                <w:sz w:val="22"/>
                <w:szCs w:val="22"/>
              </w:rPr>
              <w:t xml:space="preserve">Say Women; </w:t>
            </w:r>
          </w:p>
          <w:p w14:paraId="6A51B947" w14:textId="77777777" w:rsidR="006879A9" w:rsidRPr="001742F6" w:rsidRDefault="006879A9" w:rsidP="006879A9">
            <w:pPr>
              <w:pStyle w:val="ListParagraph"/>
              <w:numPr>
                <w:ilvl w:val="0"/>
                <w:numId w:val="28"/>
              </w:numPr>
              <w:rPr>
                <w:rFonts w:cs="Arial"/>
                <w:sz w:val="22"/>
                <w:szCs w:val="22"/>
              </w:rPr>
            </w:pPr>
            <w:r w:rsidRPr="001742F6">
              <w:rPr>
                <w:rFonts w:cs="Arial"/>
                <w:sz w:val="22"/>
                <w:szCs w:val="22"/>
              </w:rPr>
              <w:t xml:space="preserve">Glasgow Violence Against Women Partnership; </w:t>
            </w:r>
          </w:p>
          <w:p w14:paraId="5C3DD0AD" w14:textId="77777777" w:rsidR="006879A9" w:rsidRPr="001742F6" w:rsidRDefault="006879A9" w:rsidP="006879A9">
            <w:pPr>
              <w:pStyle w:val="ListParagraph"/>
              <w:numPr>
                <w:ilvl w:val="0"/>
                <w:numId w:val="28"/>
              </w:numPr>
              <w:rPr>
                <w:rFonts w:cs="Arial"/>
                <w:sz w:val="22"/>
                <w:szCs w:val="22"/>
              </w:rPr>
            </w:pPr>
            <w:r w:rsidRPr="001742F6">
              <w:rPr>
                <w:rFonts w:cs="Arial"/>
                <w:sz w:val="22"/>
                <w:szCs w:val="22"/>
              </w:rPr>
              <w:t>Daisy Project; and</w:t>
            </w:r>
          </w:p>
          <w:p w14:paraId="4A7B6EAA" w14:textId="77777777" w:rsidR="006879A9" w:rsidRPr="001742F6" w:rsidRDefault="006879A9" w:rsidP="006879A9">
            <w:pPr>
              <w:pStyle w:val="ListParagraph"/>
              <w:numPr>
                <w:ilvl w:val="0"/>
                <w:numId w:val="28"/>
              </w:numPr>
              <w:rPr>
                <w:rFonts w:cs="Arial"/>
                <w:sz w:val="22"/>
                <w:szCs w:val="22"/>
              </w:rPr>
            </w:pPr>
            <w:r w:rsidRPr="001742F6">
              <w:rPr>
                <w:rFonts w:cs="Arial"/>
                <w:sz w:val="22"/>
                <w:szCs w:val="22"/>
              </w:rPr>
              <w:t>Standing Group on Violence Against Women.</w:t>
            </w:r>
          </w:p>
          <w:p w14:paraId="7C514639" w14:textId="77777777" w:rsidR="006879A9" w:rsidRPr="001742F6" w:rsidRDefault="006879A9" w:rsidP="006879A9">
            <w:pPr>
              <w:rPr>
                <w:sz w:val="22"/>
                <w:szCs w:val="22"/>
              </w:rPr>
            </w:pPr>
          </w:p>
          <w:p w14:paraId="54FFEA13" w14:textId="77777777" w:rsidR="006879A9" w:rsidRPr="001742F6" w:rsidRDefault="006879A9" w:rsidP="006879A9">
            <w:pPr>
              <w:rPr>
                <w:sz w:val="22"/>
                <w:szCs w:val="22"/>
              </w:rPr>
            </w:pPr>
          </w:p>
          <w:p w14:paraId="78C3ADFF" w14:textId="77777777" w:rsidR="006879A9" w:rsidRPr="001742F6" w:rsidRDefault="006879A9" w:rsidP="006879A9">
            <w:pPr>
              <w:rPr>
                <w:sz w:val="22"/>
                <w:szCs w:val="22"/>
                <w:u w:val="single"/>
              </w:rPr>
            </w:pPr>
            <w:r w:rsidRPr="001742F6">
              <w:rPr>
                <w:sz w:val="22"/>
                <w:szCs w:val="22"/>
                <w:u w:val="single"/>
              </w:rPr>
              <w:t xml:space="preserve">Wednesday 22 January </w:t>
            </w:r>
            <w:r w:rsidR="00BF303C" w:rsidRPr="001742F6">
              <w:rPr>
                <w:sz w:val="22"/>
                <w:szCs w:val="22"/>
                <w:u w:val="single"/>
              </w:rPr>
              <w:t xml:space="preserve">2020 </w:t>
            </w:r>
            <w:r w:rsidRPr="001742F6">
              <w:rPr>
                <w:sz w:val="22"/>
                <w:szCs w:val="22"/>
                <w:u w:val="single"/>
              </w:rPr>
              <w:t>(am)</w:t>
            </w:r>
          </w:p>
          <w:p w14:paraId="05F6FA57" w14:textId="77777777" w:rsidR="006879A9" w:rsidRPr="001742F6" w:rsidRDefault="006879A9" w:rsidP="006879A9">
            <w:pPr>
              <w:pStyle w:val="ListParagraph"/>
              <w:numPr>
                <w:ilvl w:val="0"/>
                <w:numId w:val="29"/>
              </w:numPr>
              <w:rPr>
                <w:rFonts w:cs="Arial"/>
                <w:sz w:val="22"/>
                <w:szCs w:val="22"/>
              </w:rPr>
            </w:pPr>
            <w:r w:rsidRPr="001742F6">
              <w:rPr>
                <w:rFonts w:cs="Arial"/>
                <w:sz w:val="22"/>
                <w:szCs w:val="22"/>
              </w:rPr>
              <w:t>Partick Community Council;</w:t>
            </w:r>
          </w:p>
          <w:p w14:paraId="6EEE81E4" w14:textId="77777777" w:rsidR="006879A9" w:rsidRPr="001742F6" w:rsidRDefault="006879A9" w:rsidP="006879A9">
            <w:pPr>
              <w:pStyle w:val="ListParagraph"/>
              <w:numPr>
                <w:ilvl w:val="0"/>
                <w:numId w:val="29"/>
              </w:numPr>
              <w:rPr>
                <w:rFonts w:cs="Arial"/>
                <w:sz w:val="22"/>
                <w:szCs w:val="22"/>
              </w:rPr>
            </w:pPr>
            <w:r w:rsidRPr="001742F6">
              <w:rPr>
                <w:rFonts w:cs="Arial"/>
                <w:sz w:val="22"/>
                <w:szCs w:val="22"/>
              </w:rPr>
              <w:t xml:space="preserve">Glasgow City Health and Social Care Partnership; </w:t>
            </w:r>
          </w:p>
          <w:p w14:paraId="4EFA0110" w14:textId="77777777" w:rsidR="006879A9" w:rsidRPr="001742F6" w:rsidRDefault="006879A9" w:rsidP="006879A9">
            <w:pPr>
              <w:numPr>
                <w:ilvl w:val="0"/>
                <w:numId w:val="29"/>
              </w:numPr>
              <w:rPr>
                <w:sz w:val="22"/>
                <w:szCs w:val="22"/>
              </w:rPr>
            </w:pPr>
            <w:r w:rsidRPr="001742F6">
              <w:rPr>
                <w:rFonts w:cs="Arial"/>
                <w:sz w:val="22"/>
                <w:szCs w:val="22"/>
              </w:rPr>
              <w:t xml:space="preserve">Scottish Women’s Convention; and </w:t>
            </w:r>
          </w:p>
          <w:p w14:paraId="680798C1" w14:textId="77777777" w:rsidR="006879A9" w:rsidRPr="001742F6" w:rsidRDefault="00320CCA" w:rsidP="006879A9">
            <w:pPr>
              <w:numPr>
                <w:ilvl w:val="0"/>
                <w:numId w:val="29"/>
              </w:numPr>
              <w:rPr>
                <w:sz w:val="22"/>
                <w:szCs w:val="22"/>
              </w:rPr>
            </w:pPr>
            <w:r>
              <w:rPr>
                <w:rFonts w:cs="Arial"/>
                <w:sz w:val="22"/>
                <w:szCs w:val="22"/>
              </w:rPr>
              <w:t xml:space="preserve">A </w:t>
            </w:r>
            <w:r w:rsidR="006879A9" w:rsidRPr="001742F6">
              <w:rPr>
                <w:rFonts w:cs="Arial"/>
                <w:sz w:val="22"/>
                <w:szCs w:val="22"/>
              </w:rPr>
              <w:t>MSP</w:t>
            </w:r>
          </w:p>
          <w:p w14:paraId="067C0B12" w14:textId="77777777" w:rsidR="006879A9" w:rsidRPr="001742F6" w:rsidRDefault="006879A9" w:rsidP="006879A9">
            <w:pPr>
              <w:rPr>
                <w:rFonts w:cs="Arial"/>
                <w:sz w:val="22"/>
                <w:szCs w:val="22"/>
              </w:rPr>
            </w:pPr>
          </w:p>
          <w:p w14:paraId="5FC154AE" w14:textId="77777777" w:rsidR="006879A9" w:rsidRPr="001742F6" w:rsidRDefault="006879A9" w:rsidP="006879A9">
            <w:pPr>
              <w:rPr>
                <w:rFonts w:cs="Arial"/>
                <w:sz w:val="22"/>
                <w:szCs w:val="22"/>
                <w:u w:val="single"/>
              </w:rPr>
            </w:pPr>
            <w:r w:rsidRPr="001742F6">
              <w:rPr>
                <w:rFonts w:cs="Arial"/>
                <w:sz w:val="22"/>
                <w:szCs w:val="22"/>
                <w:u w:val="single"/>
              </w:rPr>
              <w:t xml:space="preserve">Wednesday 22 January </w:t>
            </w:r>
            <w:r w:rsidR="00BF303C" w:rsidRPr="001742F6">
              <w:rPr>
                <w:rFonts w:cs="Arial"/>
                <w:sz w:val="22"/>
                <w:szCs w:val="22"/>
                <w:u w:val="single"/>
              </w:rPr>
              <w:t xml:space="preserve">2020 </w:t>
            </w:r>
            <w:r w:rsidRPr="001742F6">
              <w:rPr>
                <w:rFonts w:cs="Arial"/>
                <w:sz w:val="22"/>
                <w:szCs w:val="22"/>
                <w:u w:val="single"/>
              </w:rPr>
              <w:t>(pm)</w:t>
            </w:r>
          </w:p>
          <w:p w14:paraId="16DA7852" w14:textId="77777777" w:rsidR="006879A9" w:rsidRPr="001742F6" w:rsidRDefault="006879A9" w:rsidP="006879A9">
            <w:pPr>
              <w:numPr>
                <w:ilvl w:val="0"/>
                <w:numId w:val="30"/>
              </w:numPr>
              <w:rPr>
                <w:rFonts w:cs="Arial"/>
                <w:sz w:val="22"/>
                <w:szCs w:val="22"/>
                <w:u w:val="single"/>
              </w:rPr>
            </w:pPr>
            <w:r w:rsidRPr="001742F6">
              <w:rPr>
                <w:rFonts w:cs="Arial"/>
                <w:sz w:val="22"/>
                <w:szCs w:val="22"/>
              </w:rPr>
              <w:t>Research Institutes/Sex</w:t>
            </w:r>
            <w:r w:rsidRPr="001742F6">
              <w:rPr>
                <w:rFonts w:cs="Arial"/>
                <w:sz w:val="22"/>
                <w:szCs w:val="22"/>
                <w:u w:val="single"/>
              </w:rPr>
              <w:t xml:space="preserve"> </w:t>
            </w:r>
            <w:r w:rsidRPr="001742F6">
              <w:rPr>
                <w:rFonts w:cs="Arial"/>
                <w:sz w:val="22"/>
                <w:szCs w:val="22"/>
              </w:rPr>
              <w:t>Work Research Hub</w:t>
            </w:r>
            <w:r w:rsidRPr="001742F6">
              <w:rPr>
                <w:rFonts w:cs="Arial"/>
                <w:sz w:val="22"/>
                <w:szCs w:val="22"/>
                <w:u w:val="single"/>
              </w:rPr>
              <w:t xml:space="preserve"> </w:t>
            </w:r>
          </w:p>
          <w:p w14:paraId="5646A4D9" w14:textId="77777777" w:rsidR="006879A9" w:rsidRPr="001742F6" w:rsidRDefault="006879A9" w:rsidP="006879A9">
            <w:pPr>
              <w:rPr>
                <w:rFonts w:cs="Arial"/>
                <w:sz w:val="22"/>
                <w:szCs w:val="22"/>
                <w:u w:val="single"/>
              </w:rPr>
            </w:pPr>
          </w:p>
          <w:p w14:paraId="6F2F0879" w14:textId="77777777" w:rsidR="006879A9" w:rsidRPr="001742F6" w:rsidRDefault="006879A9" w:rsidP="006879A9">
            <w:pPr>
              <w:rPr>
                <w:rFonts w:cs="Arial"/>
                <w:sz w:val="22"/>
                <w:szCs w:val="22"/>
                <w:u w:val="single"/>
              </w:rPr>
            </w:pPr>
            <w:r w:rsidRPr="001742F6">
              <w:rPr>
                <w:rFonts w:cs="Arial"/>
                <w:sz w:val="22"/>
                <w:szCs w:val="22"/>
                <w:u w:val="single"/>
              </w:rPr>
              <w:t xml:space="preserve">Friday 24 January </w:t>
            </w:r>
            <w:r w:rsidR="00BF303C" w:rsidRPr="001742F6">
              <w:rPr>
                <w:rFonts w:cs="Arial"/>
                <w:sz w:val="22"/>
                <w:szCs w:val="22"/>
                <w:u w:val="single"/>
              </w:rPr>
              <w:t xml:space="preserve">2020 </w:t>
            </w:r>
            <w:r w:rsidRPr="001742F6">
              <w:rPr>
                <w:rFonts w:cs="Arial"/>
                <w:sz w:val="22"/>
                <w:szCs w:val="22"/>
                <w:u w:val="single"/>
              </w:rPr>
              <w:t>(am)</w:t>
            </w:r>
          </w:p>
          <w:p w14:paraId="7A64FC85" w14:textId="77777777" w:rsidR="006879A9" w:rsidRPr="001742F6" w:rsidRDefault="006879A9" w:rsidP="006879A9">
            <w:pPr>
              <w:pStyle w:val="ListParagraph"/>
              <w:numPr>
                <w:ilvl w:val="0"/>
                <w:numId w:val="31"/>
              </w:numPr>
              <w:rPr>
                <w:rFonts w:cs="Arial"/>
                <w:sz w:val="22"/>
                <w:szCs w:val="22"/>
              </w:rPr>
            </w:pPr>
            <w:r w:rsidRPr="001742F6">
              <w:rPr>
                <w:rFonts w:cs="Arial"/>
                <w:sz w:val="22"/>
                <w:szCs w:val="22"/>
              </w:rPr>
              <w:t>Solicitors acting on behalf of lap dancing clubs in Glasgow;</w:t>
            </w:r>
          </w:p>
          <w:p w14:paraId="0F38702F" w14:textId="77777777" w:rsidR="006879A9" w:rsidRPr="001742F6" w:rsidRDefault="006879A9" w:rsidP="006879A9">
            <w:pPr>
              <w:pStyle w:val="ListParagraph"/>
              <w:numPr>
                <w:ilvl w:val="0"/>
                <w:numId w:val="31"/>
              </w:numPr>
              <w:rPr>
                <w:rFonts w:cs="Arial"/>
                <w:sz w:val="22"/>
                <w:szCs w:val="22"/>
              </w:rPr>
            </w:pPr>
            <w:r w:rsidRPr="001742F6">
              <w:rPr>
                <w:rFonts w:cs="Arial"/>
                <w:sz w:val="22"/>
                <w:szCs w:val="22"/>
              </w:rPr>
              <w:t>Premises Managers from some of the lap dancing clubs in Glasgow;</w:t>
            </w:r>
          </w:p>
          <w:p w14:paraId="033463EA" w14:textId="77777777" w:rsidR="006879A9" w:rsidRPr="001742F6" w:rsidRDefault="006879A9" w:rsidP="006879A9">
            <w:pPr>
              <w:pStyle w:val="ListParagraph"/>
              <w:numPr>
                <w:ilvl w:val="0"/>
                <w:numId w:val="31"/>
              </w:numPr>
              <w:rPr>
                <w:rFonts w:cs="Arial"/>
                <w:sz w:val="22"/>
                <w:szCs w:val="22"/>
              </w:rPr>
            </w:pPr>
            <w:r w:rsidRPr="001742F6">
              <w:rPr>
                <w:rFonts w:cs="Arial"/>
                <w:sz w:val="22"/>
                <w:szCs w:val="22"/>
                <w:lang w:val="en-US"/>
              </w:rPr>
              <w:t xml:space="preserve">Solicitor acting on behalf of the Association of Licensed Adult Entertainment Venues of Scotland; and </w:t>
            </w:r>
          </w:p>
          <w:p w14:paraId="0BE9BB43" w14:textId="77777777" w:rsidR="006879A9" w:rsidRPr="001742F6" w:rsidRDefault="006879A9" w:rsidP="006879A9">
            <w:pPr>
              <w:pStyle w:val="ListParagraph"/>
              <w:numPr>
                <w:ilvl w:val="0"/>
                <w:numId w:val="31"/>
              </w:numPr>
              <w:rPr>
                <w:rFonts w:cs="Arial"/>
                <w:sz w:val="22"/>
                <w:szCs w:val="22"/>
              </w:rPr>
            </w:pPr>
            <w:r w:rsidRPr="001742F6">
              <w:rPr>
                <w:rFonts w:cs="Arial"/>
                <w:sz w:val="22"/>
                <w:szCs w:val="22"/>
                <w:lang w:val="en-US"/>
              </w:rPr>
              <w:t>Police Scotland</w:t>
            </w:r>
          </w:p>
          <w:p w14:paraId="20C1B61C" w14:textId="77777777" w:rsidR="006879A9" w:rsidRPr="001742F6" w:rsidRDefault="006879A9" w:rsidP="006879A9">
            <w:pPr>
              <w:pStyle w:val="ListParagraph"/>
              <w:rPr>
                <w:rFonts w:cs="Arial"/>
                <w:sz w:val="22"/>
                <w:szCs w:val="22"/>
                <w:lang w:val="en-US"/>
              </w:rPr>
            </w:pPr>
          </w:p>
          <w:p w14:paraId="4274268E" w14:textId="77777777" w:rsidR="006879A9" w:rsidRPr="001742F6" w:rsidRDefault="006879A9" w:rsidP="006879A9">
            <w:pPr>
              <w:pStyle w:val="ListParagraph"/>
              <w:ind w:left="0"/>
              <w:rPr>
                <w:rFonts w:cs="Arial"/>
                <w:sz w:val="22"/>
                <w:szCs w:val="22"/>
                <w:u w:val="single"/>
                <w:lang w:val="en-US"/>
              </w:rPr>
            </w:pPr>
            <w:r w:rsidRPr="001742F6">
              <w:rPr>
                <w:rFonts w:cs="Arial"/>
                <w:sz w:val="22"/>
                <w:szCs w:val="22"/>
                <w:u w:val="single"/>
                <w:lang w:val="en-US"/>
              </w:rPr>
              <w:t xml:space="preserve">Friday 24 January </w:t>
            </w:r>
            <w:r w:rsidR="00BF303C" w:rsidRPr="001742F6">
              <w:rPr>
                <w:rFonts w:cs="Arial"/>
                <w:sz w:val="22"/>
                <w:szCs w:val="22"/>
                <w:u w:val="single"/>
                <w:lang w:val="en-US"/>
              </w:rPr>
              <w:t xml:space="preserve">2020 </w:t>
            </w:r>
            <w:r w:rsidRPr="001742F6">
              <w:rPr>
                <w:rFonts w:cs="Arial"/>
                <w:sz w:val="22"/>
                <w:szCs w:val="22"/>
                <w:u w:val="single"/>
                <w:lang w:val="en-US"/>
              </w:rPr>
              <w:t>(pm)</w:t>
            </w:r>
          </w:p>
          <w:p w14:paraId="7CF7F0BC" w14:textId="77777777" w:rsidR="006879A9" w:rsidRPr="001742F6" w:rsidRDefault="006879A9" w:rsidP="006879A9">
            <w:pPr>
              <w:pStyle w:val="ListParagraph"/>
              <w:numPr>
                <w:ilvl w:val="0"/>
                <w:numId w:val="32"/>
              </w:numPr>
              <w:rPr>
                <w:rFonts w:cs="Arial"/>
                <w:sz w:val="22"/>
                <w:szCs w:val="22"/>
              </w:rPr>
            </w:pPr>
            <w:r w:rsidRPr="001742F6">
              <w:rPr>
                <w:rFonts w:cs="Arial"/>
                <w:sz w:val="22"/>
                <w:szCs w:val="22"/>
              </w:rPr>
              <w:t xml:space="preserve">GMB Union; </w:t>
            </w:r>
          </w:p>
          <w:p w14:paraId="4EDB480B" w14:textId="77777777" w:rsidR="006879A9" w:rsidRPr="001742F6" w:rsidRDefault="006879A9" w:rsidP="006879A9">
            <w:pPr>
              <w:pStyle w:val="ListParagraph"/>
              <w:numPr>
                <w:ilvl w:val="0"/>
                <w:numId w:val="32"/>
              </w:numPr>
              <w:rPr>
                <w:rFonts w:cs="Arial"/>
                <w:sz w:val="22"/>
                <w:szCs w:val="22"/>
              </w:rPr>
            </w:pPr>
            <w:r w:rsidRPr="001742F6">
              <w:rPr>
                <w:rFonts w:cs="Arial"/>
                <w:sz w:val="22"/>
                <w:szCs w:val="22"/>
              </w:rPr>
              <w:t>United Voices of the World Trade Union; and</w:t>
            </w:r>
          </w:p>
          <w:p w14:paraId="4D67AFA1" w14:textId="77777777" w:rsidR="006879A9" w:rsidRPr="001742F6" w:rsidRDefault="006879A9" w:rsidP="00691BEB">
            <w:pPr>
              <w:pStyle w:val="ListParagraph"/>
              <w:numPr>
                <w:ilvl w:val="0"/>
                <w:numId w:val="32"/>
              </w:numPr>
              <w:rPr>
                <w:rFonts w:cs="Arial"/>
                <w:sz w:val="22"/>
                <w:szCs w:val="22"/>
                <w:u w:val="single"/>
              </w:rPr>
            </w:pPr>
            <w:r w:rsidRPr="001742F6">
              <w:rPr>
                <w:rFonts w:cs="Arial"/>
                <w:sz w:val="22"/>
                <w:szCs w:val="22"/>
              </w:rPr>
              <w:t>Dancers/Performers from some of the lap dancing clubs in Glasgow (invited by GMB and United Voices of the World Trade Union).</w:t>
            </w:r>
          </w:p>
          <w:p w14:paraId="1DC980F7" w14:textId="77777777" w:rsidR="006879A9" w:rsidRPr="001742F6" w:rsidRDefault="006879A9" w:rsidP="006879A9">
            <w:pPr>
              <w:rPr>
                <w:sz w:val="22"/>
              </w:rPr>
            </w:pPr>
          </w:p>
        </w:tc>
      </w:tr>
    </w:tbl>
    <w:p w14:paraId="03CEE92E" w14:textId="77777777" w:rsidR="00CE1909" w:rsidRDefault="00CE1909" w:rsidP="00CE1909">
      <w:pPr>
        <w:rPr>
          <w:sz w:val="22"/>
        </w:rPr>
      </w:pPr>
    </w:p>
    <w:p w14:paraId="33D432C6" w14:textId="77777777" w:rsidR="00530518" w:rsidRDefault="00530518" w:rsidP="00CE1909">
      <w:pPr>
        <w:pStyle w:val="Heading1"/>
        <w:sectPr w:rsidR="00530518" w:rsidSect="002101EA">
          <w:pgSz w:w="16838" w:h="11906" w:orient="landscape" w:code="9"/>
          <w:pgMar w:top="851" w:right="998" w:bottom="1135" w:left="851" w:header="720" w:footer="720" w:gutter="0"/>
          <w:cols w:space="720"/>
        </w:sectPr>
      </w:pPr>
    </w:p>
    <w:p w14:paraId="6EAC9E15" w14:textId="77777777" w:rsidR="00781F6A" w:rsidRPr="00B04CFA" w:rsidRDefault="006B4042" w:rsidP="005272A9">
      <w:pPr>
        <w:pStyle w:val="Heading1"/>
        <w:numPr>
          <w:ilvl w:val="0"/>
          <w:numId w:val="8"/>
        </w:numPr>
        <w:rPr>
          <w:sz w:val="36"/>
          <w:szCs w:val="36"/>
        </w:rPr>
      </w:pPr>
      <w:r w:rsidRPr="00B04CFA">
        <w:rPr>
          <w:sz w:val="36"/>
          <w:szCs w:val="36"/>
        </w:rPr>
        <w:t>A</w:t>
      </w:r>
      <w:r w:rsidR="00EB23B8" w:rsidRPr="00B04CFA">
        <w:rPr>
          <w:sz w:val="36"/>
          <w:szCs w:val="36"/>
        </w:rPr>
        <w:t>SSESS</w:t>
      </w:r>
      <w:r w:rsidRPr="00B04CFA">
        <w:rPr>
          <w:sz w:val="36"/>
          <w:szCs w:val="36"/>
        </w:rPr>
        <w:t xml:space="preserve">MENT &amp; </w:t>
      </w:r>
      <w:r w:rsidR="00CE1909" w:rsidRPr="00B04CFA">
        <w:rPr>
          <w:sz w:val="36"/>
          <w:szCs w:val="36"/>
        </w:rPr>
        <w:t>DIFFERENTIAL IMPACT</w:t>
      </w:r>
      <w:r w:rsidRPr="00B04CFA">
        <w:rPr>
          <w:sz w:val="36"/>
          <w:szCs w:val="36"/>
        </w:rPr>
        <w:t>S</w:t>
      </w:r>
    </w:p>
    <w:p w14:paraId="6F3988C2" w14:textId="77777777" w:rsidR="00797EAC" w:rsidRDefault="00797EAC" w:rsidP="00781F6A">
      <w:pPr>
        <w:ind w:left="360"/>
        <w:rPr>
          <w:sz w:val="22"/>
          <w:szCs w:val="22"/>
        </w:rPr>
      </w:pPr>
    </w:p>
    <w:p w14:paraId="0D406182" w14:textId="77777777" w:rsidR="00A67987" w:rsidRPr="00781F6A" w:rsidRDefault="00077E39" w:rsidP="00AE6831">
      <w:pPr>
        <w:ind w:left="360"/>
        <w:rPr>
          <w:sz w:val="22"/>
          <w:szCs w:val="22"/>
        </w:rPr>
      </w:pPr>
      <w:r>
        <w:rPr>
          <w:sz w:val="22"/>
          <w:szCs w:val="22"/>
        </w:rPr>
        <w:t xml:space="preserve">Use the table below </w:t>
      </w:r>
      <w:r w:rsidR="006143BD">
        <w:rPr>
          <w:sz w:val="22"/>
          <w:szCs w:val="22"/>
        </w:rPr>
        <w:t xml:space="preserve">to </w:t>
      </w:r>
      <w:r>
        <w:rPr>
          <w:sz w:val="22"/>
          <w:szCs w:val="22"/>
        </w:rPr>
        <w:t xml:space="preserve">provide some </w:t>
      </w:r>
      <w:r w:rsidRPr="00077E39">
        <w:rPr>
          <w:b/>
          <w:sz w:val="22"/>
          <w:szCs w:val="22"/>
        </w:rPr>
        <w:t>narrative</w:t>
      </w:r>
      <w:r w:rsidR="00CE1909" w:rsidRPr="00781F6A">
        <w:rPr>
          <w:sz w:val="22"/>
          <w:szCs w:val="22"/>
        </w:rPr>
        <w:t xml:space="preserve"> where you think the </w:t>
      </w:r>
      <w:r w:rsidR="00A67987">
        <w:rPr>
          <w:b/>
          <w:bCs/>
          <w:sz w:val="22"/>
          <w:szCs w:val="28"/>
        </w:rPr>
        <w:t xml:space="preserve">Policy, Project, Service Reform or Budget Option </w:t>
      </w:r>
      <w:r w:rsidR="00CE1909" w:rsidRPr="00781F6A">
        <w:rPr>
          <w:sz w:val="22"/>
          <w:szCs w:val="22"/>
        </w:rPr>
        <w:t xml:space="preserve">has either </w:t>
      </w:r>
      <w:r>
        <w:rPr>
          <w:sz w:val="22"/>
          <w:szCs w:val="22"/>
        </w:rPr>
        <w:t xml:space="preserve">a </w:t>
      </w:r>
      <w:r w:rsidRPr="00781F6A">
        <w:rPr>
          <w:sz w:val="22"/>
          <w:szCs w:val="22"/>
        </w:rPr>
        <w:t>positive impact (contributes to promoting equality or improving relations within an equality group)</w:t>
      </w:r>
      <w:r>
        <w:rPr>
          <w:sz w:val="22"/>
          <w:szCs w:val="22"/>
        </w:rPr>
        <w:t xml:space="preserve"> or </w:t>
      </w:r>
      <w:r w:rsidR="00CE1909" w:rsidRPr="00781F6A">
        <w:rPr>
          <w:sz w:val="22"/>
          <w:szCs w:val="22"/>
        </w:rPr>
        <w:t xml:space="preserve">a negative impact (could disadvantage them) </w:t>
      </w:r>
      <w:r>
        <w:rPr>
          <w:sz w:val="22"/>
          <w:szCs w:val="22"/>
        </w:rPr>
        <w:t>and note the reason for the change in policy or the reason for policy development</w:t>
      </w:r>
      <w:r w:rsidR="00CE1909" w:rsidRPr="00781F6A">
        <w:rPr>
          <w:sz w:val="22"/>
          <w:szCs w:val="22"/>
        </w:rPr>
        <w:t>, based on the evidence you have collated</w:t>
      </w:r>
      <w:r>
        <w:rPr>
          <w:sz w:val="22"/>
          <w:szCs w:val="22"/>
        </w:rPr>
        <w:t>.</w:t>
      </w:r>
    </w:p>
    <w:tbl>
      <w:tblPr>
        <w:tblpPr w:leftFromText="180" w:rightFromText="180" w:vertAnchor="text" w:horzAnchor="margin" w:tblpX="468" w:tblpY="15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283"/>
        <w:gridCol w:w="3544"/>
        <w:gridCol w:w="3402"/>
        <w:gridCol w:w="4111"/>
      </w:tblGrid>
      <w:tr w:rsidR="00163A6F" w14:paraId="5CE16A71" w14:textId="77777777" w:rsidTr="008C28A4">
        <w:tblPrEx>
          <w:tblCellMar>
            <w:top w:w="0" w:type="dxa"/>
            <w:bottom w:w="0" w:type="dxa"/>
          </w:tblCellMar>
        </w:tblPrEx>
        <w:trPr>
          <w:tblHeader/>
        </w:trPr>
        <w:tc>
          <w:tcPr>
            <w:tcW w:w="1809" w:type="dxa"/>
            <w:shd w:val="clear" w:color="auto" w:fill="C0C0C0"/>
          </w:tcPr>
          <w:p w14:paraId="79E96268" w14:textId="77777777" w:rsidR="00163A6F" w:rsidRDefault="00163A6F" w:rsidP="00781F6A">
            <w:pPr>
              <w:jc w:val="both"/>
              <w:rPr>
                <w:b/>
                <w:sz w:val="22"/>
              </w:rPr>
            </w:pPr>
          </w:p>
          <w:p w14:paraId="09713A1A" w14:textId="77777777" w:rsidR="00163A6F" w:rsidRPr="00874EAF" w:rsidRDefault="00163A6F" w:rsidP="00781F6A">
            <w:pPr>
              <w:jc w:val="both"/>
              <w:rPr>
                <w:b/>
                <w:sz w:val="22"/>
              </w:rPr>
            </w:pPr>
            <w:r w:rsidRPr="00874EAF">
              <w:rPr>
                <w:b/>
                <w:sz w:val="22"/>
              </w:rPr>
              <w:t>Protected Characteristic</w:t>
            </w:r>
          </w:p>
        </w:tc>
        <w:tc>
          <w:tcPr>
            <w:tcW w:w="1843" w:type="dxa"/>
            <w:gridSpan w:val="2"/>
            <w:shd w:val="clear" w:color="auto" w:fill="C0C0C0"/>
          </w:tcPr>
          <w:p w14:paraId="57CEB6E9" w14:textId="77777777" w:rsidR="00163A6F" w:rsidRDefault="00163A6F" w:rsidP="00781F6A">
            <w:pPr>
              <w:rPr>
                <w:b/>
                <w:sz w:val="22"/>
              </w:rPr>
            </w:pPr>
          </w:p>
          <w:p w14:paraId="304BDCB7" w14:textId="77777777" w:rsidR="00163A6F" w:rsidRPr="0095563E" w:rsidRDefault="00163A6F" w:rsidP="00781F6A">
            <w:pPr>
              <w:rPr>
                <w:b/>
                <w:sz w:val="22"/>
              </w:rPr>
            </w:pPr>
            <w:r w:rsidRPr="0095563E">
              <w:rPr>
                <w:b/>
                <w:sz w:val="22"/>
              </w:rPr>
              <w:t>Specific Characteristics</w:t>
            </w:r>
          </w:p>
        </w:tc>
        <w:tc>
          <w:tcPr>
            <w:tcW w:w="3544" w:type="dxa"/>
            <w:shd w:val="clear" w:color="auto" w:fill="C0C0C0"/>
          </w:tcPr>
          <w:p w14:paraId="695F2AAD" w14:textId="77777777" w:rsidR="00163A6F" w:rsidRDefault="00163A6F" w:rsidP="00781F6A">
            <w:pPr>
              <w:rPr>
                <w:b/>
                <w:sz w:val="22"/>
              </w:rPr>
            </w:pPr>
          </w:p>
          <w:p w14:paraId="02F512A8" w14:textId="77777777" w:rsidR="00711922" w:rsidRDefault="00711922" w:rsidP="00781F6A">
            <w:pPr>
              <w:rPr>
                <w:b/>
                <w:sz w:val="22"/>
              </w:rPr>
            </w:pPr>
            <w:r>
              <w:rPr>
                <w:b/>
                <w:sz w:val="22"/>
              </w:rPr>
              <w:t xml:space="preserve">Positive Impact </w:t>
            </w:r>
          </w:p>
          <w:p w14:paraId="0ED9686A" w14:textId="77777777" w:rsidR="00163A6F" w:rsidRPr="00823AE0" w:rsidRDefault="00711922" w:rsidP="00781F6A">
            <w:pPr>
              <w:rPr>
                <w:b/>
                <w:sz w:val="22"/>
              </w:rPr>
            </w:pPr>
            <w:r>
              <w:rPr>
                <w:b/>
                <w:sz w:val="22"/>
              </w:rPr>
              <w:t>(</w:t>
            </w:r>
            <w:r w:rsidR="00163A6F" w:rsidRPr="00711922">
              <w:rPr>
                <w:b/>
                <w:sz w:val="16"/>
                <w:szCs w:val="16"/>
              </w:rPr>
              <w:t>it could benefit an equality group</w:t>
            </w:r>
            <w:r>
              <w:rPr>
                <w:b/>
                <w:sz w:val="16"/>
                <w:szCs w:val="16"/>
              </w:rPr>
              <w:t>)</w:t>
            </w:r>
          </w:p>
        </w:tc>
        <w:tc>
          <w:tcPr>
            <w:tcW w:w="3402" w:type="dxa"/>
            <w:shd w:val="clear" w:color="auto" w:fill="C0C0C0"/>
          </w:tcPr>
          <w:p w14:paraId="45875286" w14:textId="77777777" w:rsidR="00163A6F" w:rsidRDefault="00163A6F" w:rsidP="00781F6A">
            <w:pPr>
              <w:rPr>
                <w:b/>
                <w:sz w:val="22"/>
              </w:rPr>
            </w:pPr>
          </w:p>
          <w:p w14:paraId="7375A901" w14:textId="77777777" w:rsidR="00163A6F" w:rsidRDefault="00163A6F" w:rsidP="00781F6A">
            <w:pPr>
              <w:rPr>
                <w:b/>
                <w:sz w:val="22"/>
              </w:rPr>
            </w:pPr>
            <w:r w:rsidRPr="00823AE0">
              <w:rPr>
                <w:b/>
                <w:sz w:val="22"/>
              </w:rPr>
              <w:t xml:space="preserve">Negative Impact – </w:t>
            </w:r>
          </w:p>
          <w:p w14:paraId="03E192C3" w14:textId="77777777" w:rsidR="00163A6F" w:rsidRPr="00711922" w:rsidRDefault="00711922" w:rsidP="00781F6A">
            <w:pPr>
              <w:rPr>
                <w:b/>
                <w:sz w:val="16"/>
                <w:szCs w:val="16"/>
              </w:rPr>
            </w:pPr>
            <w:r>
              <w:rPr>
                <w:b/>
                <w:sz w:val="16"/>
                <w:szCs w:val="16"/>
              </w:rPr>
              <w:t>(</w:t>
            </w:r>
            <w:r w:rsidR="00163A6F" w:rsidRPr="00711922">
              <w:rPr>
                <w:b/>
                <w:sz w:val="16"/>
                <w:szCs w:val="16"/>
              </w:rPr>
              <w:t>it could disadvantage an equality group</w:t>
            </w:r>
            <w:r>
              <w:rPr>
                <w:b/>
                <w:sz w:val="16"/>
                <w:szCs w:val="16"/>
              </w:rPr>
              <w:t>)</w:t>
            </w:r>
          </w:p>
        </w:tc>
        <w:tc>
          <w:tcPr>
            <w:tcW w:w="4111" w:type="dxa"/>
            <w:tcBorders>
              <w:bottom w:val="single" w:sz="4" w:space="0" w:color="auto"/>
            </w:tcBorders>
            <w:shd w:val="clear" w:color="auto" w:fill="C0C0C0"/>
          </w:tcPr>
          <w:p w14:paraId="7FC7FF01" w14:textId="77777777" w:rsidR="00163A6F" w:rsidRDefault="00163A6F" w:rsidP="00781F6A">
            <w:pPr>
              <w:rPr>
                <w:b/>
                <w:sz w:val="22"/>
              </w:rPr>
            </w:pPr>
          </w:p>
          <w:p w14:paraId="368EC419" w14:textId="77777777" w:rsidR="00A67C25" w:rsidRDefault="00163A6F" w:rsidP="00781F6A">
            <w:pPr>
              <w:rPr>
                <w:b/>
                <w:sz w:val="22"/>
              </w:rPr>
            </w:pPr>
            <w:r>
              <w:rPr>
                <w:b/>
                <w:sz w:val="22"/>
              </w:rPr>
              <w:t xml:space="preserve">Socio Economic / </w:t>
            </w:r>
          </w:p>
          <w:p w14:paraId="1E05BAF1" w14:textId="77777777" w:rsidR="00163A6F" w:rsidRPr="00823AE0" w:rsidRDefault="00163A6F" w:rsidP="00724573">
            <w:pPr>
              <w:rPr>
                <w:b/>
                <w:sz w:val="22"/>
              </w:rPr>
            </w:pPr>
            <w:r>
              <w:rPr>
                <w:b/>
                <w:sz w:val="22"/>
              </w:rPr>
              <w:t>Human Rights Impacts</w:t>
            </w:r>
          </w:p>
        </w:tc>
      </w:tr>
      <w:tr w:rsidR="00163A6F" w14:paraId="6402953A" w14:textId="77777777" w:rsidTr="00EA454C">
        <w:tblPrEx>
          <w:tblCellMar>
            <w:top w:w="0" w:type="dxa"/>
            <w:bottom w:w="0" w:type="dxa"/>
          </w:tblCellMar>
        </w:tblPrEx>
        <w:trPr>
          <w:trHeight w:val="530"/>
        </w:trPr>
        <w:tc>
          <w:tcPr>
            <w:tcW w:w="1809" w:type="dxa"/>
            <w:shd w:val="clear" w:color="auto" w:fill="CCFFFF"/>
            <w:vAlign w:val="center"/>
          </w:tcPr>
          <w:p w14:paraId="4EBD6869" w14:textId="77777777" w:rsidR="00163A6F" w:rsidRPr="00534BCA" w:rsidRDefault="00163A6F" w:rsidP="00175AE8">
            <w:pPr>
              <w:jc w:val="both"/>
              <w:rPr>
                <w:b/>
                <w:sz w:val="22"/>
              </w:rPr>
            </w:pPr>
            <w:r>
              <w:rPr>
                <w:b/>
                <w:sz w:val="22"/>
              </w:rPr>
              <w:t xml:space="preserve">SEX/ </w:t>
            </w:r>
            <w:r w:rsidRPr="00534BCA">
              <w:rPr>
                <w:b/>
                <w:sz w:val="22"/>
              </w:rPr>
              <w:t>GENDER</w:t>
            </w:r>
          </w:p>
        </w:tc>
        <w:tc>
          <w:tcPr>
            <w:tcW w:w="1843" w:type="dxa"/>
            <w:gridSpan w:val="2"/>
            <w:shd w:val="clear" w:color="auto" w:fill="CCFFFF"/>
            <w:vAlign w:val="center"/>
          </w:tcPr>
          <w:p w14:paraId="535B6B8B" w14:textId="77777777" w:rsidR="00163A6F" w:rsidRDefault="00163A6F" w:rsidP="00175AE8">
            <w:pPr>
              <w:jc w:val="both"/>
              <w:rPr>
                <w:sz w:val="22"/>
              </w:rPr>
            </w:pPr>
            <w:r>
              <w:rPr>
                <w:sz w:val="22"/>
              </w:rPr>
              <w:t>Women</w:t>
            </w:r>
          </w:p>
        </w:tc>
        <w:tc>
          <w:tcPr>
            <w:tcW w:w="3544" w:type="dxa"/>
          </w:tcPr>
          <w:p w14:paraId="7539A6CF" w14:textId="04DB2FD6" w:rsidR="005F57D3" w:rsidRDefault="002C1003" w:rsidP="00EA454C">
            <w:pPr>
              <w:rPr>
                <w:sz w:val="22"/>
              </w:rPr>
            </w:pPr>
            <w:r>
              <w:rPr>
                <w:sz w:val="22"/>
              </w:rPr>
              <w:t>From th</w:t>
            </w:r>
            <w:r w:rsidR="005F57D3">
              <w:rPr>
                <w:sz w:val="22"/>
              </w:rPr>
              <w:t>e</w:t>
            </w:r>
            <w:r w:rsidR="007B7F16">
              <w:rPr>
                <w:sz w:val="22"/>
              </w:rPr>
              <w:t xml:space="preserve"> responses </w:t>
            </w:r>
            <w:r w:rsidR="005F57D3">
              <w:rPr>
                <w:sz w:val="22"/>
              </w:rPr>
              <w:t xml:space="preserve">from individuals </w:t>
            </w:r>
            <w:r w:rsidR="007B7F16">
              <w:rPr>
                <w:sz w:val="22"/>
              </w:rPr>
              <w:t xml:space="preserve">received </w:t>
            </w:r>
            <w:r w:rsidR="005F57D3">
              <w:rPr>
                <w:sz w:val="22"/>
              </w:rPr>
              <w:t>to the initial consultation</w:t>
            </w:r>
            <w:r w:rsidR="00B42AD7">
              <w:rPr>
                <w:sz w:val="22"/>
              </w:rPr>
              <w:t>, who work in SEVs,</w:t>
            </w:r>
            <w:r w:rsidR="005F57D3">
              <w:rPr>
                <w:sz w:val="22"/>
              </w:rPr>
              <w:t xml:space="preserve"> </w:t>
            </w:r>
            <w:r w:rsidR="00B53B08">
              <w:rPr>
                <w:sz w:val="22"/>
              </w:rPr>
              <w:t xml:space="preserve">it is </w:t>
            </w:r>
            <w:r w:rsidR="00426C18">
              <w:rPr>
                <w:sz w:val="22"/>
              </w:rPr>
              <w:t xml:space="preserve">evident </w:t>
            </w:r>
            <w:r w:rsidR="00B53B08">
              <w:rPr>
                <w:sz w:val="22"/>
              </w:rPr>
              <w:t>that the</w:t>
            </w:r>
            <w:r w:rsidR="007B7F16">
              <w:rPr>
                <w:sz w:val="22"/>
              </w:rPr>
              <w:t xml:space="preserve"> majority of </w:t>
            </w:r>
            <w:r w:rsidR="00B53B08">
              <w:rPr>
                <w:sz w:val="22"/>
              </w:rPr>
              <w:t xml:space="preserve">SEV </w:t>
            </w:r>
            <w:r w:rsidR="007B7F16">
              <w:rPr>
                <w:sz w:val="22"/>
              </w:rPr>
              <w:t>workers are</w:t>
            </w:r>
            <w:r w:rsidR="00BB099C">
              <w:rPr>
                <w:sz w:val="22"/>
              </w:rPr>
              <w:t xml:space="preserve"> female</w:t>
            </w:r>
            <w:r w:rsidR="00B42AD7">
              <w:rPr>
                <w:sz w:val="22"/>
              </w:rPr>
              <w:t xml:space="preserve">. </w:t>
            </w:r>
            <w:r w:rsidR="00191DAA">
              <w:rPr>
                <w:sz w:val="22"/>
              </w:rPr>
              <w:t xml:space="preserve"> </w:t>
            </w:r>
            <w:r w:rsidR="00B42AD7">
              <w:rPr>
                <w:sz w:val="22"/>
              </w:rPr>
              <w:t>H</w:t>
            </w:r>
            <w:r w:rsidR="00191DAA">
              <w:rPr>
                <w:sz w:val="22"/>
              </w:rPr>
              <w:t xml:space="preserve">owever, the policy statement consultation responses, as a result of it being an online consultation, and specific questions, it is not evident that the majority of SEVs workers are female. </w:t>
            </w:r>
            <w:r w:rsidR="00B42AD7">
              <w:rPr>
                <w:sz w:val="22"/>
              </w:rPr>
              <w:t>While the optional question in this consultation</w:t>
            </w:r>
            <w:r w:rsidR="001B7482">
              <w:rPr>
                <w:sz w:val="22"/>
              </w:rPr>
              <w:t xml:space="preserve"> (best describes you)</w:t>
            </w:r>
            <w:r w:rsidR="00B42AD7">
              <w:rPr>
                <w:sz w:val="22"/>
              </w:rPr>
              <w:t xml:space="preserve"> reflected that 66% of those who completed the survey </w:t>
            </w:r>
            <w:r w:rsidR="001B7482">
              <w:rPr>
                <w:sz w:val="22"/>
              </w:rPr>
              <w:t>were female there was no evidence to suggest that these females were all SEV workers. It can only be considered likely that they are</w:t>
            </w:r>
            <w:r w:rsidR="00832FF2">
              <w:rPr>
                <w:sz w:val="22"/>
              </w:rPr>
              <w:t>,</w:t>
            </w:r>
            <w:r w:rsidR="001B7482">
              <w:rPr>
                <w:sz w:val="22"/>
              </w:rPr>
              <w:t xml:space="preserve"> given the consultation relates directly to the regulation of SEVs in Glasgow.  </w:t>
            </w:r>
          </w:p>
          <w:p w14:paraId="3FC141F2" w14:textId="77777777" w:rsidR="005F57D3" w:rsidRDefault="005F57D3" w:rsidP="00EA454C">
            <w:pPr>
              <w:rPr>
                <w:sz w:val="22"/>
              </w:rPr>
            </w:pPr>
          </w:p>
          <w:p w14:paraId="740BA65F" w14:textId="77777777" w:rsidR="005F57D3" w:rsidRDefault="005F57D3" w:rsidP="00EA454C">
            <w:pPr>
              <w:rPr>
                <w:sz w:val="22"/>
              </w:rPr>
            </w:pPr>
            <w:r>
              <w:rPr>
                <w:sz w:val="22"/>
              </w:rPr>
              <w:t xml:space="preserve">If a SEV policy was introduced which set the appropriate number of SEVs in Glasgow at 0 (0 in each locality within the draft) but gave grandfather rights to those SEVs currently in existence as at the date the Committee passed a resolution to licence SEVs (24 March 2021) then it would ensure that those </w:t>
            </w:r>
            <w:r w:rsidR="00191DAA">
              <w:rPr>
                <w:sz w:val="22"/>
              </w:rPr>
              <w:t xml:space="preserve">SEV </w:t>
            </w:r>
            <w:r>
              <w:rPr>
                <w:sz w:val="22"/>
              </w:rPr>
              <w:t>female workers continue employment within Glasgow</w:t>
            </w:r>
            <w:r w:rsidR="00191DAA">
              <w:rPr>
                <w:sz w:val="22"/>
              </w:rPr>
              <w:t xml:space="preserve"> and receive an income to support themselves and any dependents</w:t>
            </w:r>
            <w:r w:rsidR="001B7482">
              <w:rPr>
                <w:sz w:val="22"/>
              </w:rPr>
              <w:t xml:space="preserve"> who rely on that income to live. </w:t>
            </w:r>
          </w:p>
          <w:p w14:paraId="7DFA72F5" w14:textId="77777777" w:rsidR="005F57D3" w:rsidRDefault="005F57D3" w:rsidP="00EA454C">
            <w:pPr>
              <w:rPr>
                <w:sz w:val="22"/>
              </w:rPr>
            </w:pPr>
          </w:p>
          <w:p w14:paraId="0C19294D" w14:textId="77777777" w:rsidR="00191DAA" w:rsidRDefault="005F57D3" w:rsidP="00EA454C">
            <w:pPr>
              <w:rPr>
                <w:sz w:val="22"/>
              </w:rPr>
            </w:pPr>
            <w:r>
              <w:rPr>
                <w:sz w:val="22"/>
              </w:rPr>
              <w:t xml:space="preserve">The draft policy </w:t>
            </w:r>
            <w:r w:rsidR="00754BC7">
              <w:rPr>
                <w:sz w:val="22"/>
              </w:rPr>
              <w:t>c</w:t>
            </w:r>
            <w:r>
              <w:rPr>
                <w:sz w:val="22"/>
              </w:rPr>
              <w:t xml:space="preserve">ould </w:t>
            </w:r>
            <w:r w:rsidR="00754BC7">
              <w:rPr>
                <w:sz w:val="22"/>
              </w:rPr>
              <w:t xml:space="preserve">potentially </w:t>
            </w:r>
            <w:r>
              <w:rPr>
                <w:sz w:val="22"/>
              </w:rPr>
              <w:t xml:space="preserve">provide better working conditions for females as the SEV operator/licence holder will have to ensure the </w:t>
            </w:r>
            <w:r w:rsidR="00191DAA">
              <w:rPr>
                <w:sz w:val="22"/>
              </w:rPr>
              <w:t xml:space="preserve">licence </w:t>
            </w:r>
            <w:r>
              <w:rPr>
                <w:sz w:val="22"/>
              </w:rPr>
              <w:t>conditions are complied with</w:t>
            </w:r>
            <w:r w:rsidR="001B7482">
              <w:rPr>
                <w:sz w:val="22"/>
              </w:rPr>
              <w:t xml:space="preserve">, if/when attached to the licence. </w:t>
            </w:r>
            <w:r>
              <w:rPr>
                <w:sz w:val="22"/>
              </w:rPr>
              <w:t xml:space="preserve"> The SEV venue would be subject to monitoring/compliance by licensing officers and where </w:t>
            </w:r>
            <w:r w:rsidR="00754BC7">
              <w:rPr>
                <w:sz w:val="22"/>
              </w:rPr>
              <w:t xml:space="preserve">there were concerns that </w:t>
            </w:r>
            <w:r>
              <w:rPr>
                <w:sz w:val="22"/>
              </w:rPr>
              <w:t xml:space="preserve">a SEV licence holder was not complying with the terms of the licence, this could </w:t>
            </w:r>
            <w:r w:rsidR="00754BC7">
              <w:rPr>
                <w:sz w:val="22"/>
              </w:rPr>
              <w:t xml:space="preserve">potentially </w:t>
            </w:r>
            <w:r>
              <w:rPr>
                <w:sz w:val="22"/>
              </w:rPr>
              <w:t xml:space="preserve">be brought before the Committee. </w:t>
            </w:r>
            <w:r w:rsidR="00754BC7">
              <w:rPr>
                <w:sz w:val="22"/>
              </w:rPr>
              <w:t xml:space="preserve">Also, if a member of the public or perfomer had any concerns with how the SEV was operating, these concerns could be reported to the Licensing Authority and investigated. </w:t>
            </w:r>
          </w:p>
          <w:p w14:paraId="3C523209" w14:textId="77777777" w:rsidR="00191DAA" w:rsidRDefault="00191DAA" w:rsidP="00EA454C">
            <w:pPr>
              <w:rPr>
                <w:sz w:val="22"/>
              </w:rPr>
            </w:pPr>
            <w:r>
              <w:rPr>
                <w:sz w:val="22"/>
              </w:rPr>
              <w:t xml:space="preserve">It should be noted that in the consultation response there were some </w:t>
            </w:r>
            <w:r w:rsidR="00830ED5">
              <w:rPr>
                <w:sz w:val="22"/>
              </w:rPr>
              <w:t xml:space="preserve">comments </w:t>
            </w:r>
            <w:r>
              <w:rPr>
                <w:sz w:val="22"/>
              </w:rPr>
              <w:t>that stated SEVs should not be allowed within Glasgow as the</w:t>
            </w:r>
            <w:r w:rsidR="00830ED5">
              <w:rPr>
                <w:sz w:val="22"/>
              </w:rPr>
              <w:t>se</w:t>
            </w:r>
            <w:r>
              <w:rPr>
                <w:sz w:val="22"/>
              </w:rPr>
              <w:t xml:space="preserve"> venue</w:t>
            </w:r>
            <w:r w:rsidR="00830ED5">
              <w:rPr>
                <w:sz w:val="22"/>
              </w:rPr>
              <w:t xml:space="preserve">s </w:t>
            </w:r>
            <w:r>
              <w:rPr>
                <w:sz w:val="22"/>
              </w:rPr>
              <w:t xml:space="preserve"> promot</w:t>
            </w:r>
            <w:r w:rsidR="00830ED5">
              <w:rPr>
                <w:sz w:val="22"/>
              </w:rPr>
              <w:t>e</w:t>
            </w:r>
            <w:r>
              <w:rPr>
                <w:sz w:val="22"/>
              </w:rPr>
              <w:t xml:space="preserve"> gender inequality and violence against women. </w:t>
            </w:r>
            <w:r w:rsidR="00830ED5">
              <w:rPr>
                <w:sz w:val="22"/>
              </w:rPr>
              <w:t>In relation to gender inequality this was not raised as an issue from the 102/279 responses received from SEV workers in the initial consultation and in this consultation it has not been raised by the majority of the individuals who responded to the consultation. In relation to violence against women it should be noted that this was not raised as an issue or matter of concern from the majority of SEV workers who responded to the initial consultation, attended the evidence sessions</w:t>
            </w:r>
            <w:r w:rsidR="00832FF2">
              <w:rPr>
                <w:sz w:val="22"/>
              </w:rPr>
              <w:t xml:space="preserve">. In relation to </w:t>
            </w:r>
            <w:r w:rsidR="00830ED5">
              <w:rPr>
                <w:sz w:val="22"/>
              </w:rPr>
              <w:t xml:space="preserve">this policy statement consultation it should </w:t>
            </w:r>
            <w:r w:rsidR="00832FF2">
              <w:rPr>
                <w:sz w:val="22"/>
              </w:rPr>
              <w:t xml:space="preserve">also </w:t>
            </w:r>
            <w:r w:rsidR="00830ED5">
              <w:rPr>
                <w:sz w:val="22"/>
              </w:rPr>
              <w:t>be noted that</w:t>
            </w:r>
            <w:r w:rsidR="00A9169B">
              <w:rPr>
                <w:sz w:val="22"/>
              </w:rPr>
              <w:t xml:space="preserve"> 7</w:t>
            </w:r>
            <w:r w:rsidR="00832FF2">
              <w:rPr>
                <w:sz w:val="22"/>
              </w:rPr>
              <w:t xml:space="preserve">0% </w:t>
            </w:r>
            <w:r w:rsidR="00A9169B">
              <w:rPr>
                <w:sz w:val="22"/>
              </w:rPr>
              <w:t xml:space="preserve">of those who disagreed with a part of the policy, was because they had the view that there was no link between SEVs and violence against women. </w:t>
            </w:r>
          </w:p>
          <w:p w14:paraId="257BEA06" w14:textId="405EF416" w:rsidR="00BB099C" w:rsidRPr="001F76B9" w:rsidRDefault="00BB099C" w:rsidP="00EA454C">
            <w:pPr>
              <w:rPr>
                <w:color w:val="FF0000"/>
                <w:sz w:val="22"/>
              </w:rPr>
            </w:pPr>
          </w:p>
        </w:tc>
        <w:tc>
          <w:tcPr>
            <w:tcW w:w="3402" w:type="dxa"/>
          </w:tcPr>
          <w:p w14:paraId="1DCDB057" w14:textId="77777777" w:rsidR="00691BEB" w:rsidRPr="001742F6" w:rsidRDefault="007B7F16" w:rsidP="00EA454C">
            <w:pPr>
              <w:rPr>
                <w:sz w:val="22"/>
              </w:rPr>
            </w:pPr>
            <w:r>
              <w:rPr>
                <w:sz w:val="22"/>
              </w:rPr>
              <w:t>If the Committee determined to set the appropriate number of SEVs in the locality at zero</w:t>
            </w:r>
            <w:r w:rsidR="00A9169B">
              <w:rPr>
                <w:sz w:val="22"/>
              </w:rPr>
              <w:t>, without grandfather rights being given to those SEVs currently in existence as at the date the committee agreed to pass a resolution to licence SEVs</w:t>
            </w:r>
            <w:r w:rsidR="001B7482">
              <w:rPr>
                <w:sz w:val="22"/>
              </w:rPr>
              <w:t>,</w:t>
            </w:r>
            <w:r>
              <w:rPr>
                <w:sz w:val="22"/>
              </w:rPr>
              <w:t xml:space="preserve"> </w:t>
            </w:r>
            <w:r w:rsidR="00BB099C">
              <w:rPr>
                <w:sz w:val="22"/>
              </w:rPr>
              <w:t xml:space="preserve">this could have a negative impact on the majority of SEVs </w:t>
            </w:r>
            <w:r w:rsidR="00E00089">
              <w:rPr>
                <w:sz w:val="22"/>
              </w:rPr>
              <w:t xml:space="preserve">workers </w:t>
            </w:r>
            <w:r w:rsidR="00BB099C">
              <w:rPr>
                <w:sz w:val="22"/>
              </w:rPr>
              <w:t xml:space="preserve">who </w:t>
            </w:r>
            <w:r w:rsidR="00A9169B">
              <w:rPr>
                <w:sz w:val="22"/>
              </w:rPr>
              <w:t xml:space="preserve">the Committee understand from the initial consultation responses, </w:t>
            </w:r>
            <w:r w:rsidR="00BB099C">
              <w:rPr>
                <w:sz w:val="22"/>
              </w:rPr>
              <w:t xml:space="preserve">are women, as the venues they currently work in may close. This could lead to unemployment which would not only impact on the worker but </w:t>
            </w:r>
            <w:r w:rsidR="00E00089">
              <w:rPr>
                <w:sz w:val="22"/>
              </w:rPr>
              <w:t xml:space="preserve">also </w:t>
            </w:r>
            <w:r w:rsidR="00BB099C">
              <w:rPr>
                <w:sz w:val="22"/>
              </w:rPr>
              <w:t xml:space="preserve">any family members who are dependent upon their income. </w:t>
            </w:r>
            <w:r w:rsidR="00A9169B">
              <w:rPr>
                <w:sz w:val="22"/>
              </w:rPr>
              <w:t>The Committee will recall from the evidence sessions which were held prior to it determining to licence SEV</w:t>
            </w:r>
            <w:r w:rsidR="002377D3">
              <w:rPr>
                <w:sz w:val="22"/>
              </w:rPr>
              <w:t>s</w:t>
            </w:r>
            <w:r w:rsidR="00A9169B">
              <w:rPr>
                <w:sz w:val="22"/>
              </w:rPr>
              <w:t xml:space="preserve">, they were able to see and hear </w:t>
            </w:r>
            <w:r w:rsidR="00AF0E47" w:rsidRPr="001742F6">
              <w:rPr>
                <w:sz w:val="22"/>
              </w:rPr>
              <w:t xml:space="preserve">first hand </w:t>
            </w:r>
            <w:r w:rsidR="00691BEB" w:rsidRPr="001742F6">
              <w:rPr>
                <w:sz w:val="22"/>
              </w:rPr>
              <w:t>that the majorit</w:t>
            </w:r>
            <w:r w:rsidR="00BF303C" w:rsidRPr="001742F6">
              <w:rPr>
                <w:sz w:val="22"/>
              </w:rPr>
              <w:t>y of people working in SEVs, fro</w:t>
            </w:r>
            <w:r w:rsidR="00691BEB" w:rsidRPr="001742F6">
              <w:rPr>
                <w:sz w:val="22"/>
              </w:rPr>
              <w:t xml:space="preserve">m the SEVs it is aware of in Glasgow, are female. The Committee heard first hand from SEV workers </w:t>
            </w:r>
            <w:r w:rsidR="00AF0E47" w:rsidRPr="001742F6">
              <w:rPr>
                <w:sz w:val="22"/>
              </w:rPr>
              <w:t xml:space="preserve">of </w:t>
            </w:r>
            <w:r w:rsidR="00691BEB" w:rsidRPr="001742F6">
              <w:rPr>
                <w:sz w:val="22"/>
              </w:rPr>
              <w:t>the negative impact that it could have on these workers if the Committee determined to set the number of SEVs in Glasgow at zero</w:t>
            </w:r>
            <w:r w:rsidR="00A9169B">
              <w:rPr>
                <w:sz w:val="22"/>
              </w:rPr>
              <w:t xml:space="preserve"> with no grandfather rights</w:t>
            </w:r>
            <w:r w:rsidR="001B7482">
              <w:rPr>
                <w:sz w:val="22"/>
              </w:rPr>
              <w:t>.</w:t>
            </w:r>
            <w:r w:rsidR="00691BEB" w:rsidRPr="001742F6">
              <w:rPr>
                <w:sz w:val="22"/>
              </w:rPr>
              <w:t xml:space="preserve"> The SEVs workers who came to the evidence sessions had worked in SEVs premises for many years, with some having worked in SEVs premises for 13 years. </w:t>
            </w:r>
            <w:r w:rsidR="00A9169B">
              <w:rPr>
                <w:sz w:val="22"/>
              </w:rPr>
              <w:t>They stated that a 0 limit</w:t>
            </w:r>
            <w:r w:rsidR="001B7482">
              <w:rPr>
                <w:sz w:val="22"/>
              </w:rPr>
              <w:t xml:space="preserve">, </w:t>
            </w:r>
            <w:r w:rsidR="00832FF2">
              <w:rPr>
                <w:sz w:val="22"/>
              </w:rPr>
              <w:t>(</w:t>
            </w:r>
            <w:r w:rsidR="001B7482">
              <w:rPr>
                <w:sz w:val="22"/>
              </w:rPr>
              <w:t>without grandfather rights</w:t>
            </w:r>
            <w:r w:rsidR="00832FF2">
              <w:rPr>
                <w:sz w:val="22"/>
              </w:rPr>
              <w:t xml:space="preserve">) </w:t>
            </w:r>
            <w:r w:rsidR="00A9169B">
              <w:rPr>
                <w:sz w:val="22"/>
              </w:rPr>
              <w:t xml:space="preserve">could result in SEVs in Glasgow closing, it could result in current SEV workers turning to dangerous situations as they would have no similar work in a safe environment. </w:t>
            </w:r>
            <w:r w:rsidR="00FC0BAA">
              <w:rPr>
                <w:sz w:val="22"/>
              </w:rPr>
              <w:t xml:space="preserve">They would perhaps carry out sexual entertainment in places that did not require a SEV licence (limit on number of occasions SEV is performed in a venue). </w:t>
            </w:r>
            <w:r w:rsidR="00A9169B">
              <w:rPr>
                <w:sz w:val="22"/>
              </w:rPr>
              <w:t>The</w:t>
            </w:r>
            <w:r w:rsidR="001B7482">
              <w:rPr>
                <w:sz w:val="22"/>
              </w:rPr>
              <w:t>y</w:t>
            </w:r>
            <w:r w:rsidR="00A9169B">
              <w:rPr>
                <w:sz w:val="22"/>
              </w:rPr>
              <w:t xml:space="preserve"> could be carrying out similar work in an unregulated environment. </w:t>
            </w:r>
            <w:r w:rsidR="00FC0BAA" w:rsidRPr="001742F6">
              <w:rPr>
                <w:sz w:val="22"/>
              </w:rPr>
              <w:t xml:space="preserve"> This would have a negative impact on current SEV workers as there would be less safety measures in place to protect them given there would be no direct regulation.</w:t>
            </w:r>
            <w:r w:rsidR="00FC0BAA" w:rsidRPr="00CE1237">
              <w:rPr>
                <w:color w:val="FF0000"/>
                <w:sz w:val="22"/>
              </w:rPr>
              <w:t xml:space="preserve"> </w:t>
            </w:r>
            <w:r w:rsidR="00FC0BAA" w:rsidRPr="001742F6">
              <w:rPr>
                <w:sz w:val="22"/>
              </w:rPr>
              <w:t xml:space="preserve"> Some SEVs workers stated they would travel elsewhere for work – Newcastle, Edinburgh which would have a negative impact on their family as they would have to stay away longer. The SEV workers who were present </w:t>
            </w:r>
            <w:r w:rsidR="001B7482">
              <w:rPr>
                <w:sz w:val="22"/>
              </w:rPr>
              <w:t xml:space="preserve">at these sessions, </w:t>
            </w:r>
            <w:r w:rsidR="00FC0BAA" w:rsidRPr="001742F6">
              <w:rPr>
                <w:sz w:val="22"/>
              </w:rPr>
              <w:t xml:space="preserve">had young families and would be away from them longer. Some were also in further education and if they were required to travel further for work it could negatively impact on their studies.  </w:t>
            </w:r>
            <w:r w:rsidR="00A9169B">
              <w:rPr>
                <w:sz w:val="22"/>
              </w:rPr>
              <w:t xml:space="preserve">The committee is aware that in response to the question in the policy statement consultation </w:t>
            </w:r>
            <w:r w:rsidR="00FC0BAA">
              <w:rPr>
                <w:sz w:val="22"/>
              </w:rPr>
              <w:t>regarding grandfather rights being given to those SE</w:t>
            </w:r>
            <w:r w:rsidR="002377D3">
              <w:rPr>
                <w:sz w:val="22"/>
              </w:rPr>
              <w:t>V</w:t>
            </w:r>
            <w:r w:rsidR="00FC0BAA">
              <w:rPr>
                <w:sz w:val="22"/>
              </w:rPr>
              <w:t>s currently in existence as at the date the committee passed a resolution to licence SEVs, 88% of respondents</w:t>
            </w:r>
            <w:r w:rsidR="001B7482">
              <w:rPr>
                <w:sz w:val="22"/>
              </w:rPr>
              <w:t xml:space="preserve"> to this question</w:t>
            </w:r>
            <w:r w:rsidR="00FC0BAA">
              <w:rPr>
                <w:sz w:val="22"/>
              </w:rPr>
              <w:t xml:space="preserve"> agreed with grandfather rights being given. This would mean these venues would not be met with the appropriate number ground of refusal when an SEV application is being considered by the committee. </w:t>
            </w:r>
          </w:p>
          <w:p w14:paraId="468AFDEB" w14:textId="15C6C2CA" w:rsidR="009E37A2" w:rsidRPr="00CE1237" w:rsidRDefault="009E37A2" w:rsidP="00EA454C">
            <w:pPr>
              <w:rPr>
                <w:color w:val="FF0000"/>
                <w:sz w:val="22"/>
              </w:rPr>
            </w:pPr>
          </w:p>
        </w:tc>
        <w:tc>
          <w:tcPr>
            <w:tcW w:w="4111" w:type="dxa"/>
            <w:shd w:val="clear" w:color="auto" w:fill="FFCC99"/>
          </w:tcPr>
          <w:p w14:paraId="5D3C0C91" w14:textId="77777777" w:rsidR="00175AE8" w:rsidRDefault="00FC0BAA" w:rsidP="00EA454C">
            <w:pPr>
              <w:rPr>
                <w:sz w:val="22"/>
              </w:rPr>
            </w:pPr>
            <w:r w:rsidRPr="00FC0BAA">
              <w:rPr>
                <w:b/>
                <w:bCs/>
                <w:sz w:val="22"/>
              </w:rPr>
              <w:t>From the initial consultation</w:t>
            </w:r>
            <w:r w:rsidR="00175AE8">
              <w:rPr>
                <w:b/>
                <w:bCs/>
                <w:sz w:val="22"/>
              </w:rPr>
              <w:t xml:space="preserve"> and evidence sessions</w:t>
            </w:r>
            <w:r w:rsidRPr="00FC0BAA">
              <w:rPr>
                <w:b/>
                <w:bCs/>
                <w:sz w:val="22"/>
              </w:rPr>
              <w:t>:</w:t>
            </w:r>
            <w:r>
              <w:rPr>
                <w:sz w:val="22"/>
              </w:rPr>
              <w:t xml:space="preserve"> </w:t>
            </w:r>
          </w:p>
          <w:p w14:paraId="63BAFB9A" w14:textId="77777777" w:rsidR="00120BF2" w:rsidRDefault="00A517D5" w:rsidP="00EA454C">
            <w:pPr>
              <w:rPr>
                <w:sz w:val="22"/>
              </w:rPr>
            </w:pPr>
            <w:r>
              <w:rPr>
                <w:sz w:val="22"/>
              </w:rPr>
              <w:t xml:space="preserve">Some responses </w:t>
            </w:r>
            <w:r w:rsidR="00832FF2">
              <w:rPr>
                <w:sz w:val="22"/>
              </w:rPr>
              <w:t xml:space="preserve">to the initial consultation </w:t>
            </w:r>
            <w:r>
              <w:rPr>
                <w:sz w:val="22"/>
              </w:rPr>
              <w:t xml:space="preserve">identified that a failure to protect </w:t>
            </w:r>
            <w:r w:rsidR="00507F64">
              <w:rPr>
                <w:sz w:val="22"/>
              </w:rPr>
              <w:t>individuals</w:t>
            </w:r>
            <w:r>
              <w:rPr>
                <w:sz w:val="22"/>
              </w:rPr>
              <w:t xml:space="preserve"> from violence</w:t>
            </w:r>
            <w:r w:rsidR="00603957">
              <w:rPr>
                <w:sz w:val="22"/>
              </w:rPr>
              <w:t xml:space="preserve"> (by working in a SEV) </w:t>
            </w:r>
            <w:r>
              <w:rPr>
                <w:sz w:val="22"/>
              </w:rPr>
              <w:t xml:space="preserve"> may breach Article 2 of ECHR (right to life), Article 3 (right to be free of inhumane and degrading treatment) and Article 4 (right to be free of slavery and servitude). </w:t>
            </w:r>
            <w:r w:rsidR="00507F64">
              <w:rPr>
                <w:sz w:val="22"/>
              </w:rPr>
              <w:t>Article</w:t>
            </w:r>
            <w:r>
              <w:rPr>
                <w:sz w:val="22"/>
              </w:rPr>
              <w:t xml:space="preserve"> 3 and 4 are absolute </w:t>
            </w:r>
            <w:r w:rsidR="00507F64">
              <w:rPr>
                <w:sz w:val="22"/>
              </w:rPr>
              <w:t xml:space="preserve">rights which cannot be limited however </w:t>
            </w:r>
            <w:r>
              <w:rPr>
                <w:sz w:val="22"/>
              </w:rPr>
              <w:t>Article 2 has limited exceptions. From the responses received from SEV workers (102 out of 2</w:t>
            </w:r>
            <w:r w:rsidR="001F4BB9">
              <w:rPr>
                <w:sz w:val="22"/>
              </w:rPr>
              <w:t xml:space="preserve">79 </w:t>
            </w:r>
            <w:r w:rsidR="00603957">
              <w:rPr>
                <w:sz w:val="22"/>
              </w:rPr>
              <w:t>(</w:t>
            </w:r>
            <w:r>
              <w:rPr>
                <w:sz w:val="22"/>
              </w:rPr>
              <w:t>3</w:t>
            </w:r>
            <w:r w:rsidR="00320CCA">
              <w:rPr>
                <w:sz w:val="22"/>
              </w:rPr>
              <w:t>6</w:t>
            </w:r>
            <w:r>
              <w:rPr>
                <w:sz w:val="22"/>
              </w:rPr>
              <w:t>%</w:t>
            </w:r>
            <w:r w:rsidR="00603957">
              <w:rPr>
                <w:sz w:val="22"/>
              </w:rPr>
              <w:t>)</w:t>
            </w:r>
            <w:r>
              <w:rPr>
                <w:sz w:val="22"/>
              </w:rPr>
              <w:t xml:space="preserve">) none of them raised any concerns about </w:t>
            </w:r>
            <w:r w:rsidR="00507F64">
              <w:rPr>
                <w:sz w:val="22"/>
              </w:rPr>
              <w:t xml:space="preserve">receiving </w:t>
            </w:r>
            <w:r>
              <w:rPr>
                <w:sz w:val="22"/>
              </w:rPr>
              <w:t xml:space="preserve">bad </w:t>
            </w:r>
            <w:r w:rsidR="00507F64">
              <w:rPr>
                <w:sz w:val="22"/>
              </w:rPr>
              <w:t xml:space="preserve">or degrading </w:t>
            </w:r>
            <w:r>
              <w:rPr>
                <w:sz w:val="22"/>
              </w:rPr>
              <w:t xml:space="preserve">treatment </w:t>
            </w:r>
            <w:r w:rsidR="00507F64">
              <w:rPr>
                <w:sz w:val="22"/>
              </w:rPr>
              <w:t xml:space="preserve">at a SEV. The majority of </w:t>
            </w:r>
            <w:r w:rsidR="00603957">
              <w:rPr>
                <w:sz w:val="22"/>
              </w:rPr>
              <w:t xml:space="preserve">SEV workers </w:t>
            </w:r>
            <w:r w:rsidR="00507F64">
              <w:rPr>
                <w:sz w:val="22"/>
              </w:rPr>
              <w:t>stated they enjoyed their work</w:t>
            </w:r>
            <w:r w:rsidR="00167A8F">
              <w:rPr>
                <w:sz w:val="22"/>
              </w:rPr>
              <w:t>, many</w:t>
            </w:r>
            <w:r w:rsidR="00BF303C">
              <w:rPr>
                <w:sz w:val="22"/>
              </w:rPr>
              <w:t xml:space="preserve"> having worked in the same SEV</w:t>
            </w:r>
            <w:r w:rsidR="00167A8F">
              <w:rPr>
                <w:sz w:val="22"/>
              </w:rPr>
              <w:t xml:space="preserve"> for several years</w:t>
            </w:r>
            <w:r w:rsidR="00507F64">
              <w:rPr>
                <w:sz w:val="22"/>
              </w:rPr>
              <w:t xml:space="preserve"> and felt safe working in SEVs. </w:t>
            </w:r>
          </w:p>
          <w:p w14:paraId="1753367D" w14:textId="77777777" w:rsidR="00507F64" w:rsidRDefault="00507F64" w:rsidP="00EA454C">
            <w:pPr>
              <w:rPr>
                <w:sz w:val="22"/>
              </w:rPr>
            </w:pPr>
          </w:p>
          <w:p w14:paraId="6E5E1055" w14:textId="77777777" w:rsidR="00507F64" w:rsidRDefault="00507F64" w:rsidP="00EA454C">
            <w:pPr>
              <w:rPr>
                <w:sz w:val="22"/>
              </w:rPr>
            </w:pPr>
            <w:r>
              <w:rPr>
                <w:sz w:val="22"/>
              </w:rPr>
              <w:t>The responses received which raised concerns about these Rights being contravened by allowing lapdancing to take place (which is one form of sexual entertainment under the 1982 Act), provided links to articles /strategies and definitions of “</w:t>
            </w:r>
            <w:r w:rsidRPr="00507F64">
              <w:rPr>
                <w:i/>
                <w:sz w:val="22"/>
              </w:rPr>
              <w:t>violence against women</w:t>
            </w:r>
            <w:r>
              <w:rPr>
                <w:sz w:val="22"/>
              </w:rPr>
              <w:t xml:space="preserve">” which included lapdancing. </w:t>
            </w:r>
            <w:r w:rsidR="001B1095">
              <w:rPr>
                <w:sz w:val="22"/>
              </w:rPr>
              <w:t>E</w:t>
            </w:r>
            <w:r w:rsidR="000A16C5">
              <w:rPr>
                <w:sz w:val="22"/>
              </w:rPr>
              <w:t>ven if responses hadn’t raised these conce</w:t>
            </w:r>
            <w:r w:rsidR="000A3C1E">
              <w:rPr>
                <w:sz w:val="22"/>
              </w:rPr>
              <w:t xml:space="preserve">rns, the Committee still has to take them into consideration </w:t>
            </w:r>
            <w:r w:rsidR="000A16C5">
              <w:rPr>
                <w:sz w:val="22"/>
              </w:rPr>
              <w:t xml:space="preserve">when </w:t>
            </w:r>
            <w:r w:rsidR="000A3C1E">
              <w:rPr>
                <w:sz w:val="22"/>
              </w:rPr>
              <w:t xml:space="preserve">determining </w:t>
            </w:r>
            <w:r w:rsidR="000A16C5">
              <w:rPr>
                <w:sz w:val="22"/>
              </w:rPr>
              <w:t xml:space="preserve">whether or not to licence SEVs and if so, what the appropriate number should be set at. At present, it is difficult for </w:t>
            </w:r>
            <w:r w:rsidR="00167A8F">
              <w:rPr>
                <w:sz w:val="22"/>
              </w:rPr>
              <w:t xml:space="preserve">the </w:t>
            </w:r>
            <w:r w:rsidR="000A16C5">
              <w:rPr>
                <w:sz w:val="22"/>
              </w:rPr>
              <w:t xml:space="preserve">Committee, despite the articles </w:t>
            </w:r>
            <w:r w:rsidR="00603957">
              <w:rPr>
                <w:sz w:val="22"/>
              </w:rPr>
              <w:t xml:space="preserve">and responses </w:t>
            </w:r>
            <w:r w:rsidR="000A16C5">
              <w:rPr>
                <w:sz w:val="22"/>
              </w:rPr>
              <w:t>submitted in support of</w:t>
            </w:r>
            <w:r w:rsidR="000A3C1E">
              <w:rPr>
                <w:sz w:val="22"/>
              </w:rPr>
              <w:t xml:space="preserve"> these concerns</w:t>
            </w:r>
            <w:r w:rsidR="000A16C5">
              <w:rPr>
                <w:sz w:val="22"/>
              </w:rPr>
              <w:t xml:space="preserve">, to evidence how these rights are being contravened as the responses received from SEV workers </w:t>
            </w:r>
            <w:r w:rsidR="00603957">
              <w:rPr>
                <w:sz w:val="22"/>
              </w:rPr>
              <w:t xml:space="preserve">do not support these concerns. </w:t>
            </w:r>
          </w:p>
          <w:p w14:paraId="29A56C30" w14:textId="77777777" w:rsidR="00603957" w:rsidRDefault="00603957" w:rsidP="00EA454C">
            <w:pPr>
              <w:rPr>
                <w:sz w:val="22"/>
              </w:rPr>
            </w:pPr>
          </w:p>
          <w:p w14:paraId="4A344913" w14:textId="77777777" w:rsidR="00603957" w:rsidRDefault="00704C59" w:rsidP="00EA454C">
            <w:pPr>
              <w:rPr>
                <w:sz w:val="22"/>
              </w:rPr>
            </w:pPr>
            <w:r>
              <w:rPr>
                <w:sz w:val="22"/>
              </w:rPr>
              <w:t xml:space="preserve">Protocol 1 </w:t>
            </w:r>
            <w:r w:rsidR="000A3C1E">
              <w:rPr>
                <w:sz w:val="22"/>
              </w:rPr>
              <w:t>Article 1 (right to property) and Article 10 (</w:t>
            </w:r>
            <w:r w:rsidR="001B1095">
              <w:rPr>
                <w:sz w:val="22"/>
              </w:rPr>
              <w:t xml:space="preserve">freedom of expression) </w:t>
            </w:r>
            <w:r w:rsidR="000A3C1E">
              <w:rPr>
                <w:sz w:val="22"/>
              </w:rPr>
              <w:t>are also Rights</w:t>
            </w:r>
            <w:r w:rsidR="001B1095">
              <w:rPr>
                <w:sz w:val="22"/>
              </w:rPr>
              <w:t xml:space="preserve"> which must</w:t>
            </w:r>
            <w:r w:rsidR="000A3C1E">
              <w:rPr>
                <w:sz w:val="22"/>
              </w:rPr>
              <w:t xml:space="preserve"> </w:t>
            </w:r>
            <w:r w:rsidR="001B1095">
              <w:rPr>
                <w:sz w:val="22"/>
              </w:rPr>
              <w:t xml:space="preserve">be taken into consideration by the Committee when </w:t>
            </w:r>
            <w:r w:rsidR="000A3C1E">
              <w:rPr>
                <w:sz w:val="22"/>
              </w:rPr>
              <w:t xml:space="preserve">determining </w:t>
            </w:r>
            <w:r w:rsidR="001B1095">
              <w:rPr>
                <w:sz w:val="22"/>
              </w:rPr>
              <w:t>whether to licence SEVs. The SEV workers have a</w:t>
            </w:r>
            <w:r w:rsidR="000A3C1E">
              <w:rPr>
                <w:sz w:val="22"/>
              </w:rPr>
              <w:t xml:space="preserve"> right of freedom of expression</w:t>
            </w:r>
            <w:r w:rsidR="001B1095">
              <w:rPr>
                <w:sz w:val="22"/>
              </w:rPr>
              <w:t xml:space="preserve"> </w:t>
            </w:r>
            <w:r w:rsidR="000A3C1E">
              <w:rPr>
                <w:sz w:val="22"/>
              </w:rPr>
              <w:t xml:space="preserve">and property in relation to what they do with their bodies.  </w:t>
            </w:r>
            <w:r w:rsidR="001B1095">
              <w:rPr>
                <w:sz w:val="22"/>
              </w:rPr>
              <w:t xml:space="preserve">Both these rights are not absolute and could be interfered with if the interference is necessary and proportionate (an example may be prevention of crime) and it must be justified in the public interest. </w:t>
            </w:r>
          </w:p>
          <w:p w14:paraId="52E43D5C" w14:textId="77777777" w:rsidR="00832FF2" w:rsidRDefault="001B7482" w:rsidP="00EA454C">
            <w:pPr>
              <w:rPr>
                <w:sz w:val="22"/>
              </w:rPr>
            </w:pPr>
            <w:r>
              <w:rPr>
                <w:sz w:val="22"/>
              </w:rPr>
              <w:t>If</w:t>
            </w:r>
            <w:r w:rsidR="001B1095">
              <w:rPr>
                <w:sz w:val="22"/>
              </w:rPr>
              <w:t xml:space="preserve"> the number of SEVs is set </w:t>
            </w:r>
            <w:r w:rsidR="00CD1C9F">
              <w:rPr>
                <w:sz w:val="22"/>
              </w:rPr>
              <w:t xml:space="preserve">or if grandfather rights are given to allow SEVs currently in existence as at 24 March 2002, </w:t>
            </w:r>
            <w:r w:rsidR="001B1095">
              <w:rPr>
                <w:sz w:val="22"/>
              </w:rPr>
              <w:t>which would enable individuals to continue their employment</w:t>
            </w:r>
            <w:r w:rsidR="00BF303C">
              <w:rPr>
                <w:sz w:val="22"/>
              </w:rPr>
              <w:t>,</w:t>
            </w:r>
            <w:r w:rsidR="001B1095">
              <w:rPr>
                <w:sz w:val="22"/>
              </w:rPr>
              <w:t xml:space="preserve"> </w:t>
            </w:r>
            <w:r w:rsidR="00704C59">
              <w:rPr>
                <w:sz w:val="22"/>
              </w:rPr>
              <w:t xml:space="preserve">Protocol 1 </w:t>
            </w:r>
            <w:r w:rsidR="001B1095">
              <w:rPr>
                <w:sz w:val="22"/>
              </w:rPr>
              <w:t>Article</w:t>
            </w:r>
            <w:r w:rsidR="000A3C1E">
              <w:rPr>
                <w:sz w:val="22"/>
              </w:rPr>
              <w:t xml:space="preserve"> 1 and</w:t>
            </w:r>
            <w:r w:rsidR="00BF303C">
              <w:rPr>
                <w:sz w:val="22"/>
              </w:rPr>
              <w:t xml:space="preserve"> </w:t>
            </w:r>
            <w:r w:rsidR="00704C59">
              <w:rPr>
                <w:sz w:val="22"/>
              </w:rPr>
              <w:t xml:space="preserve">Article </w:t>
            </w:r>
            <w:r w:rsidR="00BF303C">
              <w:rPr>
                <w:sz w:val="22"/>
              </w:rPr>
              <w:t>10</w:t>
            </w:r>
            <w:r w:rsidR="001B1095">
              <w:rPr>
                <w:sz w:val="22"/>
              </w:rPr>
              <w:t xml:space="preserve"> would n</w:t>
            </w:r>
            <w:r w:rsidR="000A3C1E">
              <w:rPr>
                <w:sz w:val="22"/>
              </w:rPr>
              <w:t xml:space="preserve">ot be interfered with. </w:t>
            </w:r>
          </w:p>
          <w:p w14:paraId="038E9CDB" w14:textId="260F9F4C" w:rsidR="00603957" w:rsidRDefault="00603957" w:rsidP="00EA454C">
            <w:pPr>
              <w:rPr>
                <w:sz w:val="22"/>
              </w:rPr>
            </w:pPr>
          </w:p>
          <w:p w14:paraId="11244186" w14:textId="77777777" w:rsidR="00603957" w:rsidRDefault="0003077B" w:rsidP="00EA454C">
            <w:pPr>
              <w:rPr>
                <w:sz w:val="22"/>
              </w:rPr>
            </w:pPr>
            <w:r>
              <w:rPr>
                <w:sz w:val="22"/>
              </w:rPr>
              <w:t>The Committee must also ha</w:t>
            </w:r>
            <w:r w:rsidR="00167A8F">
              <w:rPr>
                <w:sz w:val="22"/>
              </w:rPr>
              <w:t xml:space="preserve">ve regard to the Public Sector </w:t>
            </w:r>
            <w:r>
              <w:rPr>
                <w:sz w:val="22"/>
              </w:rPr>
              <w:t xml:space="preserve">Equality Duty </w:t>
            </w:r>
            <w:r w:rsidR="006464C6">
              <w:rPr>
                <w:sz w:val="22"/>
              </w:rPr>
              <w:t xml:space="preserve">in section 149 of the Equality Act 2010 </w:t>
            </w:r>
            <w:r>
              <w:rPr>
                <w:sz w:val="22"/>
              </w:rPr>
              <w:t xml:space="preserve">when determining </w:t>
            </w:r>
            <w:r w:rsidR="008E740B">
              <w:rPr>
                <w:sz w:val="22"/>
              </w:rPr>
              <w:t>what would be the appropriate number of SEVs in each locality</w:t>
            </w:r>
            <w:r w:rsidR="00197B88">
              <w:rPr>
                <w:sz w:val="22"/>
              </w:rPr>
              <w:t xml:space="preserve"> and whether to grant grandfather rights</w:t>
            </w:r>
            <w:r w:rsidR="008E740B">
              <w:rPr>
                <w:sz w:val="22"/>
              </w:rPr>
              <w:t>, within the Policy Statement</w:t>
            </w:r>
            <w:r>
              <w:rPr>
                <w:sz w:val="22"/>
              </w:rPr>
              <w:t xml:space="preserve">. </w:t>
            </w:r>
            <w:r w:rsidR="00167A8F">
              <w:rPr>
                <w:sz w:val="22"/>
              </w:rPr>
              <w:t xml:space="preserve">The Committee must take into account all responses received. </w:t>
            </w:r>
            <w:r>
              <w:rPr>
                <w:sz w:val="22"/>
              </w:rPr>
              <w:t xml:space="preserve">The Committee must </w:t>
            </w:r>
            <w:r w:rsidR="006464C6">
              <w:rPr>
                <w:sz w:val="22"/>
              </w:rPr>
              <w:t xml:space="preserve">in particular </w:t>
            </w:r>
            <w:r>
              <w:rPr>
                <w:sz w:val="22"/>
              </w:rPr>
              <w:t xml:space="preserve">consider the impact on gender equality. </w:t>
            </w:r>
            <w:r w:rsidR="006464C6">
              <w:rPr>
                <w:sz w:val="22"/>
              </w:rPr>
              <w:t xml:space="preserve">Whilst it is evident from the </w:t>
            </w:r>
            <w:r w:rsidR="008E740B">
              <w:rPr>
                <w:sz w:val="22"/>
              </w:rPr>
              <w:t xml:space="preserve">initial consultation </w:t>
            </w:r>
            <w:r w:rsidR="006464C6">
              <w:rPr>
                <w:sz w:val="22"/>
              </w:rPr>
              <w:t xml:space="preserve">responses received from SEV workers, that the majority of them are female, some responses </w:t>
            </w:r>
            <w:r w:rsidR="00167A8F">
              <w:rPr>
                <w:sz w:val="22"/>
              </w:rPr>
              <w:t>received</w:t>
            </w:r>
            <w:r w:rsidR="00426C18">
              <w:rPr>
                <w:sz w:val="22"/>
              </w:rPr>
              <w:t xml:space="preserve"> have been from SEV workers who are men or who are transgender. </w:t>
            </w:r>
          </w:p>
          <w:p w14:paraId="36F25B7E" w14:textId="77777777" w:rsidR="00175AE8" w:rsidRDefault="00175AE8" w:rsidP="00EA454C">
            <w:pPr>
              <w:rPr>
                <w:sz w:val="22"/>
              </w:rPr>
            </w:pPr>
          </w:p>
          <w:p w14:paraId="0AACB1E4" w14:textId="77777777" w:rsidR="004544EB" w:rsidRDefault="008E740B" w:rsidP="00EA454C">
            <w:pPr>
              <w:rPr>
                <w:sz w:val="22"/>
              </w:rPr>
            </w:pPr>
            <w:r>
              <w:rPr>
                <w:sz w:val="22"/>
              </w:rPr>
              <w:t>I</w:t>
            </w:r>
            <w:r w:rsidR="0011287B">
              <w:rPr>
                <w:sz w:val="22"/>
              </w:rPr>
              <w:t xml:space="preserve">t should be noted that 88% of respondents who answered the question in the </w:t>
            </w:r>
            <w:r>
              <w:rPr>
                <w:sz w:val="22"/>
              </w:rPr>
              <w:t xml:space="preserve">policy </w:t>
            </w:r>
            <w:r w:rsidR="0011287B">
              <w:rPr>
                <w:sz w:val="22"/>
              </w:rPr>
              <w:t xml:space="preserve">consultation on grandfather rights, agreed with grandfather rights being given to those SEVs currently in existence as at 24 March 2021. Had the majority of respondents to this question been concerned about violence against women taking place in these venues, it is likely that they would have disagreed with these rights being given. In addition, it should be noted that for some questions within the policy (Committee’s approach to licensing objecting Reducing Violence against Women) </w:t>
            </w:r>
            <w:r w:rsidR="004544EB">
              <w:rPr>
                <w:sz w:val="22"/>
              </w:rPr>
              <w:t>51% of respondents neither agreed or disagreed with the approach and 31% disagreed with it. In response to another question (Character of locality)  it is likely this was because those respondents were of the view there was no link between SEVs and violence against women. From the question on Character of locality, 60% of the respondents disagreed with the use, with 7</w:t>
            </w:r>
            <w:r w:rsidR="00607791">
              <w:rPr>
                <w:sz w:val="22"/>
              </w:rPr>
              <w:t>0</w:t>
            </w:r>
            <w:r w:rsidR="004544EB">
              <w:rPr>
                <w:sz w:val="22"/>
              </w:rPr>
              <w:t xml:space="preserve">% of those who disagreed stating it was because </w:t>
            </w:r>
            <w:r w:rsidR="00894CF2">
              <w:rPr>
                <w:sz w:val="22"/>
              </w:rPr>
              <w:t xml:space="preserve">in their view, </w:t>
            </w:r>
            <w:r w:rsidR="004544EB">
              <w:rPr>
                <w:sz w:val="22"/>
              </w:rPr>
              <w:t xml:space="preserve">there was no link between </w:t>
            </w:r>
            <w:r w:rsidR="002377D3">
              <w:rPr>
                <w:sz w:val="22"/>
              </w:rPr>
              <w:t>SEVs</w:t>
            </w:r>
            <w:r w:rsidR="004544EB">
              <w:rPr>
                <w:sz w:val="22"/>
              </w:rPr>
              <w:t xml:space="preserve"> and violence against women (and this should be removed from the list relating to the consultation question). There has been no evidence presented to Committee to counter this. </w:t>
            </w:r>
          </w:p>
          <w:p w14:paraId="1E312563" w14:textId="77777777" w:rsidR="004544EB" w:rsidRDefault="004544EB" w:rsidP="00EA454C">
            <w:pPr>
              <w:rPr>
                <w:sz w:val="22"/>
              </w:rPr>
            </w:pPr>
          </w:p>
          <w:p w14:paraId="5E740B39" w14:textId="77777777" w:rsidR="004544EB" w:rsidRDefault="004544EB" w:rsidP="00EA454C">
            <w:pPr>
              <w:rPr>
                <w:sz w:val="22"/>
              </w:rPr>
            </w:pPr>
            <w:r>
              <w:rPr>
                <w:sz w:val="22"/>
              </w:rPr>
              <w:t>It should also be noted that some comments were of the view that to licence SEVs and set the number at anything other than 0, with no grandfather rights, would be incompatible with the Council’s policy on Violence Against Women, the Scottish Government’s Equally Safe Strategy</w:t>
            </w:r>
            <w:r w:rsidR="00607791">
              <w:rPr>
                <w:sz w:val="22"/>
              </w:rPr>
              <w:t xml:space="preserve"> and </w:t>
            </w:r>
            <w:r>
              <w:rPr>
                <w:sz w:val="22"/>
              </w:rPr>
              <w:t>ECHR</w:t>
            </w:r>
            <w:r w:rsidR="00607791">
              <w:rPr>
                <w:sz w:val="22"/>
              </w:rPr>
              <w:t xml:space="preserve">. In addition, </w:t>
            </w:r>
            <w:r>
              <w:rPr>
                <w:sz w:val="22"/>
              </w:rPr>
              <w:t xml:space="preserve"> </w:t>
            </w:r>
            <w:r w:rsidR="00607791">
              <w:rPr>
                <w:sz w:val="22"/>
              </w:rPr>
              <w:t xml:space="preserve">they were of the view </w:t>
            </w:r>
            <w:r>
              <w:rPr>
                <w:sz w:val="22"/>
              </w:rPr>
              <w:t>SEVs are unlawful</w:t>
            </w:r>
            <w:r w:rsidR="00607791">
              <w:rPr>
                <w:sz w:val="22"/>
              </w:rPr>
              <w:t xml:space="preserve">. </w:t>
            </w:r>
          </w:p>
          <w:p w14:paraId="24DF75C1" w14:textId="77777777" w:rsidR="00607791" w:rsidRDefault="00607791" w:rsidP="00EA454C">
            <w:pPr>
              <w:rPr>
                <w:sz w:val="22"/>
              </w:rPr>
            </w:pPr>
          </w:p>
          <w:p w14:paraId="2BB5441B" w14:textId="77777777" w:rsidR="00163A6F" w:rsidRPr="00507F64" w:rsidRDefault="004544EB" w:rsidP="00EA454C">
            <w:pPr>
              <w:rPr>
                <w:sz w:val="22"/>
              </w:rPr>
            </w:pPr>
            <w:r>
              <w:rPr>
                <w:sz w:val="22"/>
              </w:rPr>
              <w:t xml:space="preserve">The Committee is aware that any decisions it makes under the 1982 Act, must be evidence based. </w:t>
            </w:r>
            <w:r w:rsidR="0011287B">
              <w:rPr>
                <w:sz w:val="22"/>
              </w:rPr>
              <w:t xml:space="preserve"> </w:t>
            </w:r>
            <w:r>
              <w:rPr>
                <w:sz w:val="22"/>
              </w:rPr>
              <w:t xml:space="preserve"> It should be noted that the Scottish Government introduced legislation to allow Local Authorities to licence SEVs</w:t>
            </w:r>
            <w:r w:rsidR="008E740B">
              <w:rPr>
                <w:sz w:val="22"/>
              </w:rPr>
              <w:t xml:space="preserve"> and set an appropriate number within each locality</w:t>
            </w:r>
            <w:r>
              <w:rPr>
                <w:sz w:val="22"/>
              </w:rPr>
              <w:t xml:space="preserve">. Had SEVs been considered unlawful, the legislation to allow this would not have been introduced by the Scottish Government. </w:t>
            </w:r>
          </w:p>
        </w:tc>
      </w:tr>
      <w:tr w:rsidR="00163A6F" w14:paraId="0E065C80" w14:textId="77777777" w:rsidTr="00EA454C">
        <w:tblPrEx>
          <w:tblCellMar>
            <w:top w:w="0" w:type="dxa"/>
            <w:bottom w:w="0" w:type="dxa"/>
          </w:tblCellMar>
        </w:tblPrEx>
        <w:trPr>
          <w:trHeight w:val="551"/>
        </w:trPr>
        <w:tc>
          <w:tcPr>
            <w:tcW w:w="1809" w:type="dxa"/>
            <w:shd w:val="clear" w:color="auto" w:fill="CCFFFF"/>
          </w:tcPr>
          <w:p w14:paraId="5223AE9B" w14:textId="77777777" w:rsidR="00163A6F" w:rsidRPr="00534BCA" w:rsidRDefault="00163A6F" w:rsidP="00781F6A">
            <w:pPr>
              <w:rPr>
                <w:b/>
                <w:sz w:val="22"/>
              </w:rPr>
            </w:pPr>
          </w:p>
        </w:tc>
        <w:tc>
          <w:tcPr>
            <w:tcW w:w="1843" w:type="dxa"/>
            <w:gridSpan w:val="2"/>
            <w:shd w:val="clear" w:color="auto" w:fill="CCFFFF"/>
            <w:vAlign w:val="center"/>
          </w:tcPr>
          <w:p w14:paraId="3DEE56A9" w14:textId="77777777" w:rsidR="00163A6F" w:rsidRDefault="00163A6F" w:rsidP="00B55E10">
            <w:pPr>
              <w:rPr>
                <w:sz w:val="22"/>
              </w:rPr>
            </w:pPr>
            <w:r>
              <w:rPr>
                <w:sz w:val="22"/>
              </w:rPr>
              <w:t>Men</w:t>
            </w:r>
          </w:p>
        </w:tc>
        <w:tc>
          <w:tcPr>
            <w:tcW w:w="3544" w:type="dxa"/>
          </w:tcPr>
          <w:p w14:paraId="7B7F6FE0" w14:textId="77777777" w:rsidR="00D357C7" w:rsidRDefault="00D357C7" w:rsidP="00EA454C">
            <w:pPr>
              <w:rPr>
                <w:sz w:val="22"/>
              </w:rPr>
            </w:pPr>
            <w:r>
              <w:rPr>
                <w:sz w:val="22"/>
              </w:rPr>
              <w:t>Although the majority of responses</w:t>
            </w:r>
            <w:r w:rsidR="002377D3">
              <w:rPr>
                <w:sz w:val="22"/>
              </w:rPr>
              <w:t xml:space="preserve"> </w:t>
            </w:r>
            <w:r>
              <w:rPr>
                <w:sz w:val="22"/>
              </w:rPr>
              <w:t xml:space="preserve">received </w:t>
            </w:r>
            <w:r w:rsidR="002377D3">
              <w:rPr>
                <w:sz w:val="22"/>
              </w:rPr>
              <w:t xml:space="preserve">to the initial consultation </w:t>
            </w:r>
            <w:r>
              <w:rPr>
                <w:sz w:val="22"/>
              </w:rPr>
              <w:t>from SEVs workers were from women, a few men also work in the SEVs that the Committee</w:t>
            </w:r>
            <w:r w:rsidR="00603957">
              <w:rPr>
                <w:sz w:val="22"/>
              </w:rPr>
              <w:t xml:space="preserve"> has knowledge of</w:t>
            </w:r>
            <w:r>
              <w:rPr>
                <w:sz w:val="22"/>
              </w:rPr>
              <w:t xml:space="preserve">. </w:t>
            </w:r>
          </w:p>
          <w:p w14:paraId="62F3E673" w14:textId="77777777" w:rsidR="002377D3" w:rsidRDefault="002377D3" w:rsidP="00EA454C">
            <w:pPr>
              <w:rPr>
                <w:sz w:val="22"/>
              </w:rPr>
            </w:pPr>
          </w:p>
          <w:p w14:paraId="41DCB034" w14:textId="77777777" w:rsidR="002377D3" w:rsidRDefault="002377D3" w:rsidP="00EA454C">
            <w:pPr>
              <w:rPr>
                <w:sz w:val="22"/>
              </w:rPr>
            </w:pPr>
            <w:r>
              <w:rPr>
                <w:sz w:val="22"/>
              </w:rPr>
              <w:t xml:space="preserve">Similar to that referred to above, the SEV Policy Statement consultation, as a result of it being online and specific questions asked, it is not evident from the responses the gender of SEV workers. The positives and negatives for men would be similar to those listed for women. </w:t>
            </w:r>
          </w:p>
          <w:p w14:paraId="4A60A058" w14:textId="77777777" w:rsidR="00120BF2" w:rsidRDefault="00120BF2" w:rsidP="00EA454C">
            <w:pPr>
              <w:rPr>
                <w:sz w:val="22"/>
              </w:rPr>
            </w:pPr>
          </w:p>
          <w:p w14:paraId="77F4278F" w14:textId="77777777" w:rsidR="00D357C7" w:rsidRDefault="00D357C7" w:rsidP="00EA454C">
            <w:pPr>
              <w:rPr>
                <w:sz w:val="22"/>
              </w:rPr>
            </w:pPr>
          </w:p>
          <w:p w14:paraId="6C9E7FC0" w14:textId="77777777" w:rsidR="00D357C7" w:rsidRDefault="00D357C7" w:rsidP="00EA454C">
            <w:pPr>
              <w:rPr>
                <w:sz w:val="22"/>
              </w:rPr>
            </w:pPr>
          </w:p>
        </w:tc>
        <w:tc>
          <w:tcPr>
            <w:tcW w:w="3402" w:type="dxa"/>
          </w:tcPr>
          <w:p w14:paraId="1797CAAF" w14:textId="77777777" w:rsidR="00163A6F" w:rsidRDefault="00163A6F" w:rsidP="00D357C7">
            <w:pPr>
              <w:jc w:val="both"/>
              <w:rPr>
                <w:sz w:val="22"/>
              </w:rPr>
            </w:pPr>
          </w:p>
        </w:tc>
        <w:tc>
          <w:tcPr>
            <w:tcW w:w="4111" w:type="dxa"/>
            <w:shd w:val="clear" w:color="auto" w:fill="FFCC99"/>
          </w:tcPr>
          <w:p w14:paraId="35475EA3" w14:textId="77777777" w:rsidR="00163A6F" w:rsidRDefault="00163A6F" w:rsidP="00781F6A">
            <w:pPr>
              <w:rPr>
                <w:sz w:val="22"/>
              </w:rPr>
            </w:pPr>
          </w:p>
        </w:tc>
      </w:tr>
      <w:tr w:rsidR="00163A6F" w14:paraId="526B2C7A" w14:textId="77777777" w:rsidTr="00EA454C">
        <w:tblPrEx>
          <w:tblCellMar>
            <w:top w:w="0" w:type="dxa"/>
            <w:bottom w:w="0" w:type="dxa"/>
          </w:tblCellMar>
        </w:tblPrEx>
        <w:trPr>
          <w:trHeight w:val="473"/>
        </w:trPr>
        <w:tc>
          <w:tcPr>
            <w:tcW w:w="1809" w:type="dxa"/>
            <w:tcBorders>
              <w:bottom w:val="single" w:sz="4" w:space="0" w:color="auto"/>
            </w:tcBorders>
            <w:shd w:val="clear" w:color="auto" w:fill="CCFFFF"/>
          </w:tcPr>
          <w:p w14:paraId="25174057" w14:textId="77777777" w:rsidR="00163A6F" w:rsidRPr="00534BCA" w:rsidRDefault="00163A6F" w:rsidP="00781F6A">
            <w:pPr>
              <w:rPr>
                <w:b/>
                <w:sz w:val="22"/>
              </w:rPr>
            </w:pPr>
          </w:p>
        </w:tc>
        <w:tc>
          <w:tcPr>
            <w:tcW w:w="1843" w:type="dxa"/>
            <w:gridSpan w:val="2"/>
            <w:tcBorders>
              <w:bottom w:val="single" w:sz="4" w:space="0" w:color="auto"/>
            </w:tcBorders>
            <w:shd w:val="clear" w:color="auto" w:fill="CCFFFF"/>
            <w:vAlign w:val="center"/>
          </w:tcPr>
          <w:p w14:paraId="080C1908" w14:textId="77777777" w:rsidR="00163A6F" w:rsidRDefault="00163A6F" w:rsidP="00B55E10">
            <w:pPr>
              <w:rPr>
                <w:sz w:val="22"/>
              </w:rPr>
            </w:pPr>
            <w:r>
              <w:rPr>
                <w:sz w:val="22"/>
              </w:rPr>
              <w:t>Transgender</w:t>
            </w:r>
          </w:p>
        </w:tc>
        <w:tc>
          <w:tcPr>
            <w:tcW w:w="3544" w:type="dxa"/>
            <w:tcBorders>
              <w:bottom w:val="single" w:sz="4" w:space="0" w:color="auto"/>
            </w:tcBorders>
          </w:tcPr>
          <w:p w14:paraId="53291010" w14:textId="77777777" w:rsidR="00163A6F" w:rsidRDefault="00646315" w:rsidP="00EA454C">
            <w:pPr>
              <w:rPr>
                <w:sz w:val="22"/>
              </w:rPr>
            </w:pPr>
            <w:r>
              <w:rPr>
                <w:sz w:val="22"/>
              </w:rPr>
              <w:t xml:space="preserve">The responses </w:t>
            </w:r>
            <w:r w:rsidR="002377D3">
              <w:rPr>
                <w:sz w:val="22"/>
              </w:rPr>
              <w:t xml:space="preserve">to the initial consultation </w:t>
            </w:r>
            <w:r>
              <w:rPr>
                <w:sz w:val="22"/>
              </w:rPr>
              <w:t>highlighted that</w:t>
            </w:r>
            <w:r w:rsidR="007B7F16">
              <w:rPr>
                <w:sz w:val="22"/>
              </w:rPr>
              <w:t xml:space="preserve"> some workers in SEVs are transgender</w:t>
            </w:r>
            <w:r w:rsidR="00D357C7">
              <w:rPr>
                <w:sz w:val="22"/>
              </w:rPr>
              <w:t xml:space="preserve">. </w:t>
            </w:r>
            <w:r w:rsidR="00CF7B6F">
              <w:rPr>
                <w:sz w:val="22"/>
              </w:rPr>
              <w:t>Similar</w:t>
            </w:r>
            <w:r w:rsidR="002377D3">
              <w:rPr>
                <w:sz w:val="22"/>
              </w:rPr>
              <w:t xml:space="preserve"> to the above, the responses to the Policy Statement consultation did not make it clear the gender of respondents.  </w:t>
            </w:r>
            <w:r w:rsidR="00D357C7">
              <w:rPr>
                <w:sz w:val="22"/>
              </w:rPr>
              <w:t xml:space="preserve">The positives </w:t>
            </w:r>
            <w:r w:rsidR="00603957">
              <w:rPr>
                <w:sz w:val="22"/>
              </w:rPr>
              <w:t xml:space="preserve">and negatives </w:t>
            </w:r>
            <w:r w:rsidR="002377D3">
              <w:rPr>
                <w:sz w:val="22"/>
              </w:rPr>
              <w:t xml:space="preserve">however, </w:t>
            </w:r>
            <w:r w:rsidR="00D357C7">
              <w:rPr>
                <w:sz w:val="22"/>
              </w:rPr>
              <w:t xml:space="preserve">for </w:t>
            </w:r>
            <w:r w:rsidR="00A517D5">
              <w:rPr>
                <w:sz w:val="22"/>
              </w:rPr>
              <w:t xml:space="preserve">transgender </w:t>
            </w:r>
            <w:r w:rsidR="00D357C7">
              <w:rPr>
                <w:sz w:val="22"/>
              </w:rPr>
              <w:t xml:space="preserve">would be similar </w:t>
            </w:r>
            <w:r w:rsidR="00A517D5">
              <w:rPr>
                <w:sz w:val="22"/>
              </w:rPr>
              <w:t xml:space="preserve">to those listed above for men and women. </w:t>
            </w:r>
          </w:p>
        </w:tc>
        <w:tc>
          <w:tcPr>
            <w:tcW w:w="3402" w:type="dxa"/>
            <w:tcBorders>
              <w:bottom w:val="single" w:sz="4" w:space="0" w:color="auto"/>
            </w:tcBorders>
          </w:tcPr>
          <w:p w14:paraId="695A0C94" w14:textId="77777777" w:rsidR="00163A6F" w:rsidRDefault="00163A6F" w:rsidP="00781F6A">
            <w:pPr>
              <w:rPr>
                <w:sz w:val="22"/>
              </w:rPr>
            </w:pPr>
          </w:p>
        </w:tc>
        <w:tc>
          <w:tcPr>
            <w:tcW w:w="4111" w:type="dxa"/>
            <w:tcBorders>
              <w:bottom w:val="single" w:sz="4" w:space="0" w:color="auto"/>
            </w:tcBorders>
            <w:shd w:val="clear" w:color="auto" w:fill="FFCC99"/>
          </w:tcPr>
          <w:p w14:paraId="3EA170A4" w14:textId="77777777" w:rsidR="00163A6F" w:rsidRDefault="00163A6F" w:rsidP="00781F6A">
            <w:pPr>
              <w:rPr>
                <w:sz w:val="22"/>
              </w:rPr>
            </w:pPr>
          </w:p>
        </w:tc>
      </w:tr>
      <w:tr w:rsidR="00874EAF" w14:paraId="3FC4C8E9" w14:textId="77777777" w:rsidTr="00EA454C">
        <w:tblPrEx>
          <w:tblCellMar>
            <w:top w:w="0" w:type="dxa"/>
            <w:bottom w:w="0" w:type="dxa"/>
          </w:tblCellMar>
        </w:tblPrEx>
        <w:tc>
          <w:tcPr>
            <w:tcW w:w="14709" w:type="dxa"/>
            <w:gridSpan w:val="6"/>
            <w:shd w:val="clear" w:color="auto" w:fill="auto"/>
          </w:tcPr>
          <w:p w14:paraId="7496298C" w14:textId="77777777" w:rsidR="00874EAF" w:rsidRPr="00CD7794" w:rsidRDefault="00874EAF" w:rsidP="00781F6A">
            <w:pPr>
              <w:rPr>
                <w:sz w:val="18"/>
                <w:szCs w:val="18"/>
              </w:rPr>
            </w:pPr>
          </w:p>
        </w:tc>
      </w:tr>
      <w:tr w:rsidR="00646315" w14:paraId="0BC32061" w14:textId="77777777" w:rsidTr="00EA454C">
        <w:tblPrEx>
          <w:tblCellMar>
            <w:top w:w="0" w:type="dxa"/>
            <w:bottom w:w="0" w:type="dxa"/>
          </w:tblCellMar>
        </w:tblPrEx>
        <w:trPr>
          <w:trHeight w:val="399"/>
        </w:trPr>
        <w:tc>
          <w:tcPr>
            <w:tcW w:w="1809" w:type="dxa"/>
            <w:shd w:val="clear" w:color="auto" w:fill="CCFFFF"/>
            <w:vAlign w:val="center"/>
          </w:tcPr>
          <w:p w14:paraId="7B5C5F98" w14:textId="77777777" w:rsidR="00646315" w:rsidRPr="00AE6831" w:rsidRDefault="00646315" w:rsidP="0070176D">
            <w:pPr>
              <w:rPr>
                <w:b/>
                <w:sz w:val="22"/>
                <w:szCs w:val="22"/>
              </w:rPr>
            </w:pPr>
            <w:r w:rsidRPr="00AE6831">
              <w:rPr>
                <w:b/>
                <w:sz w:val="22"/>
                <w:szCs w:val="22"/>
              </w:rPr>
              <w:t>RACE*</w:t>
            </w:r>
          </w:p>
        </w:tc>
        <w:tc>
          <w:tcPr>
            <w:tcW w:w="1560" w:type="dxa"/>
            <w:shd w:val="clear" w:color="auto" w:fill="CCFFFF"/>
            <w:vAlign w:val="center"/>
          </w:tcPr>
          <w:p w14:paraId="21CC38F7" w14:textId="77777777" w:rsidR="00646315" w:rsidRDefault="00646315" w:rsidP="00B55E10">
            <w:pPr>
              <w:rPr>
                <w:sz w:val="22"/>
              </w:rPr>
            </w:pPr>
            <w:r>
              <w:rPr>
                <w:sz w:val="22"/>
              </w:rPr>
              <w:t>White</w:t>
            </w:r>
          </w:p>
        </w:tc>
        <w:tc>
          <w:tcPr>
            <w:tcW w:w="3827" w:type="dxa"/>
            <w:gridSpan w:val="2"/>
            <w:vMerge w:val="restart"/>
          </w:tcPr>
          <w:p w14:paraId="32B22131" w14:textId="77777777" w:rsidR="00646315" w:rsidRDefault="00646315" w:rsidP="00EA454C">
            <w:pPr>
              <w:rPr>
                <w:sz w:val="22"/>
              </w:rPr>
            </w:pPr>
            <w:r>
              <w:rPr>
                <w:sz w:val="22"/>
              </w:rPr>
              <w:t xml:space="preserve">The ethnicity of individuals was not asked for in the consultation nor provided in the response. </w:t>
            </w:r>
          </w:p>
        </w:tc>
        <w:tc>
          <w:tcPr>
            <w:tcW w:w="3402" w:type="dxa"/>
            <w:vMerge w:val="restart"/>
          </w:tcPr>
          <w:p w14:paraId="76B016E2" w14:textId="77777777" w:rsidR="00646315" w:rsidRDefault="00646315" w:rsidP="00EA454C">
            <w:pPr>
              <w:rPr>
                <w:sz w:val="22"/>
              </w:rPr>
            </w:pPr>
            <w:r>
              <w:rPr>
                <w:sz w:val="22"/>
              </w:rPr>
              <w:t>The ethnicity of individuals was not asked for in the consultation nor provided in the response.</w:t>
            </w:r>
          </w:p>
        </w:tc>
        <w:tc>
          <w:tcPr>
            <w:tcW w:w="4111" w:type="dxa"/>
            <w:shd w:val="clear" w:color="auto" w:fill="FFCC99"/>
          </w:tcPr>
          <w:p w14:paraId="5C6AE43F" w14:textId="77777777" w:rsidR="00646315" w:rsidRDefault="00646315" w:rsidP="00781F6A">
            <w:pPr>
              <w:rPr>
                <w:sz w:val="22"/>
              </w:rPr>
            </w:pPr>
          </w:p>
        </w:tc>
      </w:tr>
      <w:tr w:rsidR="00646315" w14:paraId="4253C6F4" w14:textId="77777777" w:rsidTr="00EA454C">
        <w:tblPrEx>
          <w:tblCellMar>
            <w:top w:w="0" w:type="dxa"/>
            <w:bottom w:w="0" w:type="dxa"/>
          </w:tblCellMar>
        </w:tblPrEx>
        <w:trPr>
          <w:trHeight w:val="449"/>
        </w:trPr>
        <w:tc>
          <w:tcPr>
            <w:tcW w:w="1809" w:type="dxa"/>
            <w:vMerge w:val="restart"/>
            <w:shd w:val="clear" w:color="auto" w:fill="CCFFFF"/>
          </w:tcPr>
          <w:p w14:paraId="57BDD465" w14:textId="77777777" w:rsidR="00646315" w:rsidRDefault="00646315" w:rsidP="00781F6A">
            <w:pPr>
              <w:rPr>
                <w:i/>
                <w:sz w:val="20"/>
              </w:rPr>
            </w:pPr>
            <w:r w:rsidRPr="00B55E10">
              <w:rPr>
                <w:i/>
                <w:sz w:val="20"/>
              </w:rPr>
              <w:t xml:space="preserve">Further information on the breakdown below each of these headings, as per census, is available </w:t>
            </w:r>
            <w:hyperlink r:id="rId27" w:history="1">
              <w:r w:rsidRPr="00B55E10">
                <w:rPr>
                  <w:rStyle w:val="Hyperlink"/>
                  <w:i/>
                  <w:sz w:val="20"/>
                </w:rPr>
                <w:t>here.</w:t>
              </w:r>
            </w:hyperlink>
          </w:p>
          <w:p w14:paraId="288A1882" w14:textId="77777777" w:rsidR="00646315" w:rsidRDefault="00646315" w:rsidP="00781F6A">
            <w:pPr>
              <w:rPr>
                <w:i/>
                <w:sz w:val="20"/>
              </w:rPr>
            </w:pPr>
          </w:p>
          <w:p w14:paraId="54DB09B1" w14:textId="77777777" w:rsidR="00646315" w:rsidRPr="00FC051D" w:rsidRDefault="00646315" w:rsidP="00781F6A">
            <w:pPr>
              <w:rPr>
                <w:b/>
                <w:i/>
                <w:sz w:val="20"/>
              </w:rPr>
            </w:pPr>
            <w:r w:rsidRPr="00FC051D">
              <w:rPr>
                <w:i/>
                <w:sz w:val="20"/>
              </w:rPr>
              <w:t>For example Asian includes Chinese, Pakistani and Indian etc</w:t>
            </w:r>
          </w:p>
        </w:tc>
        <w:tc>
          <w:tcPr>
            <w:tcW w:w="1560" w:type="dxa"/>
            <w:shd w:val="clear" w:color="auto" w:fill="CCFFFF"/>
            <w:vAlign w:val="center"/>
          </w:tcPr>
          <w:p w14:paraId="720FBCAA" w14:textId="77777777" w:rsidR="00646315" w:rsidRDefault="00646315" w:rsidP="00B55E10">
            <w:pPr>
              <w:rPr>
                <w:sz w:val="22"/>
              </w:rPr>
            </w:pPr>
            <w:r>
              <w:rPr>
                <w:sz w:val="22"/>
              </w:rPr>
              <w:t>Mixed or Multiple Ethnic Groups</w:t>
            </w:r>
          </w:p>
        </w:tc>
        <w:tc>
          <w:tcPr>
            <w:tcW w:w="3827" w:type="dxa"/>
            <w:gridSpan w:val="2"/>
            <w:vMerge/>
          </w:tcPr>
          <w:p w14:paraId="60C5BF24" w14:textId="77777777" w:rsidR="00646315" w:rsidRDefault="00646315" w:rsidP="00EA454C">
            <w:pPr>
              <w:rPr>
                <w:sz w:val="22"/>
              </w:rPr>
            </w:pPr>
          </w:p>
        </w:tc>
        <w:tc>
          <w:tcPr>
            <w:tcW w:w="3402" w:type="dxa"/>
            <w:vMerge/>
          </w:tcPr>
          <w:p w14:paraId="1D42ABCF" w14:textId="77777777" w:rsidR="00646315" w:rsidRDefault="00646315" w:rsidP="00EA454C">
            <w:pPr>
              <w:rPr>
                <w:sz w:val="22"/>
              </w:rPr>
            </w:pPr>
          </w:p>
        </w:tc>
        <w:tc>
          <w:tcPr>
            <w:tcW w:w="4111" w:type="dxa"/>
            <w:shd w:val="clear" w:color="auto" w:fill="FFCC99"/>
          </w:tcPr>
          <w:p w14:paraId="21C5F4F9" w14:textId="77777777" w:rsidR="00646315" w:rsidRDefault="00646315" w:rsidP="00781F6A">
            <w:pPr>
              <w:rPr>
                <w:sz w:val="22"/>
              </w:rPr>
            </w:pPr>
          </w:p>
        </w:tc>
      </w:tr>
      <w:tr w:rsidR="00646315" w14:paraId="39BA122F" w14:textId="77777777" w:rsidTr="00EA454C">
        <w:tblPrEx>
          <w:tblCellMar>
            <w:top w:w="0" w:type="dxa"/>
            <w:bottom w:w="0" w:type="dxa"/>
          </w:tblCellMar>
        </w:tblPrEx>
        <w:trPr>
          <w:trHeight w:val="499"/>
        </w:trPr>
        <w:tc>
          <w:tcPr>
            <w:tcW w:w="1809" w:type="dxa"/>
            <w:vMerge/>
            <w:shd w:val="clear" w:color="auto" w:fill="CCFFFF"/>
          </w:tcPr>
          <w:p w14:paraId="230457F5" w14:textId="77777777" w:rsidR="00646315" w:rsidRPr="00534BCA" w:rsidRDefault="00646315" w:rsidP="00781F6A">
            <w:pPr>
              <w:rPr>
                <w:b/>
                <w:sz w:val="22"/>
              </w:rPr>
            </w:pPr>
          </w:p>
        </w:tc>
        <w:tc>
          <w:tcPr>
            <w:tcW w:w="1560" w:type="dxa"/>
            <w:shd w:val="clear" w:color="auto" w:fill="CCFFFF"/>
            <w:vAlign w:val="center"/>
          </w:tcPr>
          <w:p w14:paraId="78AF1942" w14:textId="77777777" w:rsidR="00646315" w:rsidRDefault="00646315" w:rsidP="00FC051D">
            <w:pPr>
              <w:rPr>
                <w:sz w:val="22"/>
              </w:rPr>
            </w:pPr>
            <w:r>
              <w:rPr>
                <w:sz w:val="22"/>
              </w:rPr>
              <w:t>Asian</w:t>
            </w:r>
          </w:p>
        </w:tc>
        <w:tc>
          <w:tcPr>
            <w:tcW w:w="3827" w:type="dxa"/>
            <w:gridSpan w:val="2"/>
            <w:vMerge/>
          </w:tcPr>
          <w:p w14:paraId="7068EF36" w14:textId="77777777" w:rsidR="00646315" w:rsidRDefault="00646315" w:rsidP="00EA454C">
            <w:pPr>
              <w:rPr>
                <w:sz w:val="22"/>
              </w:rPr>
            </w:pPr>
          </w:p>
        </w:tc>
        <w:tc>
          <w:tcPr>
            <w:tcW w:w="3402" w:type="dxa"/>
            <w:vMerge/>
          </w:tcPr>
          <w:p w14:paraId="04ADDCBD" w14:textId="77777777" w:rsidR="00646315" w:rsidRDefault="00646315" w:rsidP="00EA454C">
            <w:pPr>
              <w:rPr>
                <w:sz w:val="22"/>
              </w:rPr>
            </w:pPr>
          </w:p>
        </w:tc>
        <w:tc>
          <w:tcPr>
            <w:tcW w:w="4111" w:type="dxa"/>
            <w:shd w:val="clear" w:color="auto" w:fill="FFCC99"/>
          </w:tcPr>
          <w:p w14:paraId="1CF9E45A" w14:textId="77777777" w:rsidR="00646315" w:rsidRDefault="00646315" w:rsidP="00781F6A">
            <w:pPr>
              <w:rPr>
                <w:sz w:val="22"/>
              </w:rPr>
            </w:pPr>
          </w:p>
        </w:tc>
      </w:tr>
      <w:tr w:rsidR="00646315" w14:paraId="15658D6E" w14:textId="77777777" w:rsidTr="00EA454C">
        <w:tblPrEx>
          <w:tblCellMar>
            <w:top w:w="0" w:type="dxa"/>
            <w:bottom w:w="0" w:type="dxa"/>
          </w:tblCellMar>
        </w:tblPrEx>
        <w:trPr>
          <w:trHeight w:val="548"/>
        </w:trPr>
        <w:tc>
          <w:tcPr>
            <w:tcW w:w="1809" w:type="dxa"/>
            <w:vMerge/>
            <w:shd w:val="clear" w:color="auto" w:fill="CCFFFF"/>
          </w:tcPr>
          <w:p w14:paraId="32586579" w14:textId="77777777" w:rsidR="00646315" w:rsidRPr="00534BCA" w:rsidRDefault="00646315" w:rsidP="00781F6A">
            <w:pPr>
              <w:rPr>
                <w:b/>
                <w:sz w:val="22"/>
              </w:rPr>
            </w:pPr>
          </w:p>
        </w:tc>
        <w:tc>
          <w:tcPr>
            <w:tcW w:w="1560" w:type="dxa"/>
            <w:shd w:val="clear" w:color="auto" w:fill="CCFFFF"/>
            <w:vAlign w:val="center"/>
          </w:tcPr>
          <w:p w14:paraId="0439A8FB" w14:textId="77777777" w:rsidR="00646315" w:rsidRDefault="00646315" w:rsidP="00B55E10">
            <w:pPr>
              <w:rPr>
                <w:sz w:val="22"/>
              </w:rPr>
            </w:pPr>
            <w:r>
              <w:rPr>
                <w:sz w:val="22"/>
              </w:rPr>
              <w:t>African</w:t>
            </w:r>
          </w:p>
        </w:tc>
        <w:tc>
          <w:tcPr>
            <w:tcW w:w="3827" w:type="dxa"/>
            <w:gridSpan w:val="2"/>
            <w:vMerge/>
          </w:tcPr>
          <w:p w14:paraId="33144661" w14:textId="77777777" w:rsidR="00646315" w:rsidRDefault="00646315" w:rsidP="00EA454C">
            <w:pPr>
              <w:rPr>
                <w:sz w:val="22"/>
              </w:rPr>
            </w:pPr>
          </w:p>
        </w:tc>
        <w:tc>
          <w:tcPr>
            <w:tcW w:w="3402" w:type="dxa"/>
            <w:vMerge/>
          </w:tcPr>
          <w:p w14:paraId="2BDCBCA0" w14:textId="77777777" w:rsidR="00646315" w:rsidRDefault="00646315" w:rsidP="00EA454C">
            <w:pPr>
              <w:rPr>
                <w:sz w:val="22"/>
              </w:rPr>
            </w:pPr>
          </w:p>
        </w:tc>
        <w:tc>
          <w:tcPr>
            <w:tcW w:w="4111" w:type="dxa"/>
            <w:shd w:val="clear" w:color="auto" w:fill="FFCC99"/>
          </w:tcPr>
          <w:p w14:paraId="4E3D013E" w14:textId="77777777" w:rsidR="00646315" w:rsidRDefault="00646315" w:rsidP="00781F6A">
            <w:pPr>
              <w:rPr>
                <w:sz w:val="22"/>
              </w:rPr>
            </w:pPr>
          </w:p>
        </w:tc>
      </w:tr>
      <w:tr w:rsidR="00646315" w14:paraId="7BCEB399" w14:textId="77777777" w:rsidTr="00EA454C">
        <w:tblPrEx>
          <w:tblCellMar>
            <w:top w:w="0" w:type="dxa"/>
            <w:bottom w:w="0" w:type="dxa"/>
          </w:tblCellMar>
        </w:tblPrEx>
        <w:trPr>
          <w:trHeight w:val="512"/>
        </w:trPr>
        <w:tc>
          <w:tcPr>
            <w:tcW w:w="1809" w:type="dxa"/>
            <w:vMerge/>
            <w:shd w:val="clear" w:color="auto" w:fill="CCFFFF"/>
          </w:tcPr>
          <w:p w14:paraId="73EF69A2" w14:textId="77777777" w:rsidR="00646315" w:rsidRPr="00534BCA" w:rsidRDefault="00646315" w:rsidP="00781F6A">
            <w:pPr>
              <w:rPr>
                <w:b/>
                <w:sz w:val="22"/>
              </w:rPr>
            </w:pPr>
          </w:p>
        </w:tc>
        <w:tc>
          <w:tcPr>
            <w:tcW w:w="1560" w:type="dxa"/>
            <w:shd w:val="clear" w:color="auto" w:fill="CCFFFF"/>
            <w:vAlign w:val="center"/>
          </w:tcPr>
          <w:p w14:paraId="42B4604A" w14:textId="77777777" w:rsidR="00646315" w:rsidRDefault="00646315" w:rsidP="00B55E10">
            <w:pPr>
              <w:rPr>
                <w:sz w:val="22"/>
              </w:rPr>
            </w:pPr>
            <w:r>
              <w:rPr>
                <w:sz w:val="22"/>
              </w:rPr>
              <w:t xml:space="preserve">Caribbean or Black </w:t>
            </w:r>
          </w:p>
        </w:tc>
        <w:tc>
          <w:tcPr>
            <w:tcW w:w="3827" w:type="dxa"/>
            <w:gridSpan w:val="2"/>
            <w:vMerge/>
          </w:tcPr>
          <w:p w14:paraId="1CDEDB37" w14:textId="77777777" w:rsidR="00646315" w:rsidRDefault="00646315" w:rsidP="00EA454C">
            <w:pPr>
              <w:rPr>
                <w:sz w:val="22"/>
              </w:rPr>
            </w:pPr>
          </w:p>
        </w:tc>
        <w:tc>
          <w:tcPr>
            <w:tcW w:w="3402" w:type="dxa"/>
            <w:vMerge/>
          </w:tcPr>
          <w:p w14:paraId="2C8C88C6" w14:textId="77777777" w:rsidR="00646315" w:rsidRDefault="00646315" w:rsidP="00EA454C">
            <w:pPr>
              <w:rPr>
                <w:sz w:val="22"/>
              </w:rPr>
            </w:pPr>
          </w:p>
        </w:tc>
        <w:tc>
          <w:tcPr>
            <w:tcW w:w="4111" w:type="dxa"/>
            <w:shd w:val="clear" w:color="auto" w:fill="FFCC99"/>
          </w:tcPr>
          <w:p w14:paraId="2667EBD3" w14:textId="77777777" w:rsidR="00646315" w:rsidRDefault="00646315" w:rsidP="00781F6A">
            <w:pPr>
              <w:rPr>
                <w:sz w:val="22"/>
              </w:rPr>
            </w:pPr>
          </w:p>
        </w:tc>
      </w:tr>
      <w:tr w:rsidR="00646315" w14:paraId="695FC0EF" w14:textId="77777777" w:rsidTr="00EA454C">
        <w:tblPrEx>
          <w:tblCellMar>
            <w:top w:w="0" w:type="dxa"/>
            <w:bottom w:w="0" w:type="dxa"/>
          </w:tblCellMar>
        </w:tblPrEx>
        <w:trPr>
          <w:trHeight w:val="562"/>
        </w:trPr>
        <w:tc>
          <w:tcPr>
            <w:tcW w:w="1809" w:type="dxa"/>
            <w:vMerge/>
            <w:shd w:val="clear" w:color="auto" w:fill="CCFFFF"/>
          </w:tcPr>
          <w:p w14:paraId="43CCEC64" w14:textId="77777777" w:rsidR="00646315" w:rsidRPr="00534BCA" w:rsidRDefault="00646315" w:rsidP="00781F6A">
            <w:pPr>
              <w:rPr>
                <w:b/>
                <w:sz w:val="22"/>
              </w:rPr>
            </w:pPr>
          </w:p>
        </w:tc>
        <w:tc>
          <w:tcPr>
            <w:tcW w:w="1560" w:type="dxa"/>
            <w:shd w:val="clear" w:color="auto" w:fill="CCFFFF"/>
            <w:vAlign w:val="center"/>
          </w:tcPr>
          <w:p w14:paraId="2795A341" w14:textId="77777777" w:rsidR="00646315" w:rsidRDefault="00646315" w:rsidP="00B55E10">
            <w:pPr>
              <w:rPr>
                <w:sz w:val="22"/>
              </w:rPr>
            </w:pPr>
            <w:r>
              <w:rPr>
                <w:sz w:val="22"/>
              </w:rPr>
              <w:t>Other Ethnic Group</w:t>
            </w:r>
          </w:p>
        </w:tc>
        <w:tc>
          <w:tcPr>
            <w:tcW w:w="3827" w:type="dxa"/>
            <w:gridSpan w:val="2"/>
            <w:vMerge/>
          </w:tcPr>
          <w:p w14:paraId="32A4AFCF" w14:textId="77777777" w:rsidR="00646315" w:rsidRDefault="00646315" w:rsidP="00EA454C">
            <w:pPr>
              <w:rPr>
                <w:sz w:val="22"/>
              </w:rPr>
            </w:pPr>
          </w:p>
        </w:tc>
        <w:tc>
          <w:tcPr>
            <w:tcW w:w="3402" w:type="dxa"/>
            <w:vMerge/>
          </w:tcPr>
          <w:p w14:paraId="72F95EB4" w14:textId="77777777" w:rsidR="00646315" w:rsidRDefault="00646315" w:rsidP="00EA454C">
            <w:pPr>
              <w:rPr>
                <w:sz w:val="22"/>
              </w:rPr>
            </w:pPr>
          </w:p>
        </w:tc>
        <w:tc>
          <w:tcPr>
            <w:tcW w:w="4111" w:type="dxa"/>
            <w:shd w:val="clear" w:color="auto" w:fill="FFCC99"/>
          </w:tcPr>
          <w:p w14:paraId="63B31CAB" w14:textId="77777777" w:rsidR="00646315" w:rsidRDefault="00646315" w:rsidP="00781F6A">
            <w:pPr>
              <w:rPr>
                <w:sz w:val="22"/>
              </w:rPr>
            </w:pPr>
          </w:p>
        </w:tc>
      </w:tr>
      <w:tr w:rsidR="00874EAF" w14:paraId="630361A9" w14:textId="77777777" w:rsidTr="00EA454C">
        <w:tblPrEx>
          <w:tblCellMar>
            <w:top w:w="0" w:type="dxa"/>
            <w:bottom w:w="0" w:type="dxa"/>
          </w:tblCellMar>
        </w:tblPrEx>
        <w:tc>
          <w:tcPr>
            <w:tcW w:w="14709" w:type="dxa"/>
            <w:gridSpan w:val="6"/>
            <w:shd w:val="clear" w:color="auto" w:fill="auto"/>
          </w:tcPr>
          <w:p w14:paraId="1979717C" w14:textId="77777777" w:rsidR="00874EAF" w:rsidRPr="00CD7794" w:rsidRDefault="00874EAF" w:rsidP="00EA454C">
            <w:pPr>
              <w:rPr>
                <w:sz w:val="18"/>
                <w:szCs w:val="18"/>
              </w:rPr>
            </w:pPr>
          </w:p>
        </w:tc>
      </w:tr>
      <w:tr w:rsidR="00886C90" w14:paraId="2662DB5C" w14:textId="77777777" w:rsidTr="00EA454C">
        <w:tblPrEx>
          <w:tblCellMar>
            <w:top w:w="0" w:type="dxa"/>
            <w:bottom w:w="0" w:type="dxa"/>
          </w:tblCellMar>
        </w:tblPrEx>
        <w:trPr>
          <w:trHeight w:val="464"/>
        </w:trPr>
        <w:tc>
          <w:tcPr>
            <w:tcW w:w="1809" w:type="dxa"/>
            <w:shd w:val="clear" w:color="auto" w:fill="CCFFFF"/>
            <w:vAlign w:val="center"/>
          </w:tcPr>
          <w:p w14:paraId="13C67267" w14:textId="77777777" w:rsidR="00886C90" w:rsidRPr="00534BCA" w:rsidRDefault="00886C90" w:rsidP="0070176D">
            <w:pPr>
              <w:rPr>
                <w:b/>
                <w:sz w:val="22"/>
              </w:rPr>
            </w:pPr>
            <w:r w:rsidRPr="00534BCA">
              <w:rPr>
                <w:b/>
                <w:sz w:val="22"/>
              </w:rPr>
              <w:t>DISABILITY</w:t>
            </w:r>
          </w:p>
        </w:tc>
        <w:tc>
          <w:tcPr>
            <w:tcW w:w="1560" w:type="dxa"/>
            <w:shd w:val="clear" w:color="auto" w:fill="CCFFFF"/>
            <w:vAlign w:val="center"/>
          </w:tcPr>
          <w:p w14:paraId="3F1FA35F" w14:textId="77777777" w:rsidR="00886C90" w:rsidRDefault="00886C90" w:rsidP="00B55E10">
            <w:pPr>
              <w:rPr>
                <w:sz w:val="22"/>
              </w:rPr>
            </w:pPr>
            <w:r>
              <w:rPr>
                <w:sz w:val="22"/>
              </w:rPr>
              <w:t>Physical disability</w:t>
            </w:r>
          </w:p>
        </w:tc>
        <w:tc>
          <w:tcPr>
            <w:tcW w:w="3827" w:type="dxa"/>
            <w:gridSpan w:val="2"/>
            <w:vMerge w:val="restart"/>
          </w:tcPr>
          <w:p w14:paraId="3BCB5811" w14:textId="77777777" w:rsidR="00886C90" w:rsidRDefault="00886C90" w:rsidP="00EA454C">
            <w:pPr>
              <w:rPr>
                <w:sz w:val="22"/>
              </w:rPr>
            </w:pPr>
            <w:r>
              <w:rPr>
                <w:sz w:val="22"/>
              </w:rPr>
              <w:t xml:space="preserve">Individuals were not asked to provide details to the Committee about whether they had any disability when responding to the consultation. </w:t>
            </w:r>
          </w:p>
        </w:tc>
        <w:tc>
          <w:tcPr>
            <w:tcW w:w="3402" w:type="dxa"/>
            <w:vMerge w:val="restart"/>
          </w:tcPr>
          <w:p w14:paraId="02FE54E1" w14:textId="77777777" w:rsidR="00886C90" w:rsidRDefault="00886C90" w:rsidP="00EA454C">
            <w:pPr>
              <w:rPr>
                <w:sz w:val="22"/>
              </w:rPr>
            </w:pPr>
            <w:r>
              <w:rPr>
                <w:sz w:val="22"/>
              </w:rPr>
              <w:t>Individuals were not asked to provide details to the Committee about whether they had any disability when responding to the consultation.</w:t>
            </w:r>
          </w:p>
        </w:tc>
        <w:tc>
          <w:tcPr>
            <w:tcW w:w="4111" w:type="dxa"/>
            <w:shd w:val="clear" w:color="auto" w:fill="FFCC99"/>
          </w:tcPr>
          <w:p w14:paraId="720AE0E6" w14:textId="77777777" w:rsidR="00886C90" w:rsidRDefault="00886C90" w:rsidP="00781F6A">
            <w:pPr>
              <w:rPr>
                <w:sz w:val="22"/>
              </w:rPr>
            </w:pPr>
          </w:p>
        </w:tc>
      </w:tr>
      <w:tr w:rsidR="00886C90" w14:paraId="207679FF" w14:textId="77777777" w:rsidTr="00EA454C">
        <w:tblPrEx>
          <w:tblCellMar>
            <w:top w:w="0" w:type="dxa"/>
            <w:bottom w:w="0" w:type="dxa"/>
          </w:tblCellMar>
        </w:tblPrEx>
        <w:tc>
          <w:tcPr>
            <w:tcW w:w="1809" w:type="dxa"/>
            <w:vMerge w:val="restart"/>
            <w:shd w:val="clear" w:color="auto" w:fill="CCFFFF"/>
          </w:tcPr>
          <w:p w14:paraId="39860FF2" w14:textId="77777777" w:rsidR="00886C90" w:rsidRPr="0070176D" w:rsidRDefault="00886C90" w:rsidP="00781F6A">
            <w:pPr>
              <w:rPr>
                <w:i/>
                <w:sz w:val="20"/>
              </w:rPr>
            </w:pPr>
            <w:r w:rsidRPr="0070176D">
              <w:rPr>
                <w:i/>
                <w:sz w:val="20"/>
              </w:rPr>
              <w:t xml:space="preserve">A definition of disability under the Equality Act 2010 is available </w:t>
            </w:r>
            <w:hyperlink r:id="rId28" w:history="1">
              <w:r w:rsidRPr="0070176D">
                <w:rPr>
                  <w:rStyle w:val="Hyperlink"/>
                  <w:i/>
                  <w:sz w:val="20"/>
                </w:rPr>
                <w:t>here.</w:t>
              </w:r>
            </w:hyperlink>
          </w:p>
        </w:tc>
        <w:tc>
          <w:tcPr>
            <w:tcW w:w="1560" w:type="dxa"/>
            <w:shd w:val="clear" w:color="auto" w:fill="CCFFFF"/>
          </w:tcPr>
          <w:p w14:paraId="671E813E" w14:textId="77777777" w:rsidR="00886C90" w:rsidRDefault="00886C90" w:rsidP="00781F6A">
            <w:pPr>
              <w:rPr>
                <w:sz w:val="22"/>
              </w:rPr>
            </w:pPr>
            <w:r>
              <w:rPr>
                <w:sz w:val="22"/>
              </w:rPr>
              <w:t>Sensory Impairment</w:t>
            </w:r>
          </w:p>
          <w:p w14:paraId="1851088F" w14:textId="77777777" w:rsidR="00886C90" w:rsidRDefault="00886C90" w:rsidP="00781F6A">
            <w:pPr>
              <w:rPr>
                <w:sz w:val="22"/>
              </w:rPr>
            </w:pPr>
            <w:r>
              <w:rPr>
                <w:sz w:val="22"/>
              </w:rPr>
              <w:t>(sight, hearing, )</w:t>
            </w:r>
          </w:p>
        </w:tc>
        <w:tc>
          <w:tcPr>
            <w:tcW w:w="3827" w:type="dxa"/>
            <w:gridSpan w:val="2"/>
            <w:vMerge/>
          </w:tcPr>
          <w:p w14:paraId="77C2120A" w14:textId="77777777" w:rsidR="00886C90" w:rsidRDefault="00886C90" w:rsidP="00781F6A">
            <w:pPr>
              <w:rPr>
                <w:sz w:val="22"/>
              </w:rPr>
            </w:pPr>
          </w:p>
        </w:tc>
        <w:tc>
          <w:tcPr>
            <w:tcW w:w="3402" w:type="dxa"/>
            <w:vMerge/>
          </w:tcPr>
          <w:p w14:paraId="6B3AFD65" w14:textId="77777777" w:rsidR="00886C90" w:rsidRDefault="00886C90" w:rsidP="00781F6A">
            <w:pPr>
              <w:rPr>
                <w:sz w:val="22"/>
              </w:rPr>
            </w:pPr>
          </w:p>
        </w:tc>
        <w:tc>
          <w:tcPr>
            <w:tcW w:w="4111" w:type="dxa"/>
            <w:shd w:val="clear" w:color="auto" w:fill="FFCC99"/>
          </w:tcPr>
          <w:p w14:paraId="5117FDF5" w14:textId="77777777" w:rsidR="00886C90" w:rsidRDefault="00886C90" w:rsidP="00781F6A">
            <w:pPr>
              <w:rPr>
                <w:sz w:val="22"/>
              </w:rPr>
            </w:pPr>
          </w:p>
        </w:tc>
      </w:tr>
      <w:tr w:rsidR="00886C90" w14:paraId="01123EDB" w14:textId="77777777" w:rsidTr="00EA454C">
        <w:tblPrEx>
          <w:tblCellMar>
            <w:top w:w="0" w:type="dxa"/>
            <w:bottom w:w="0" w:type="dxa"/>
          </w:tblCellMar>
        </w:tblPrEx>
        <w:trPr>
          <w:trHeight w:val="422"/>
        </w:trPr>
        <w:tc>
          <w:tcPr>
            <w:tcW w:w="1809" w:type="dxa"/>
            <w:vMerge/>
            <w:shd w:val="clear" w:color="auto" w:fill="CCFFFF"/>
          </w:tcPr>
          <w:p w14:paraId="7C32E4E1" w14:textId="77777777" w:rsidR="00886C90" w:rsidRPr="00534BCA" w:rsidRDefault="00886C90" w:rsidP="00781F6A">
            <w:pPr>
              <w:rPr>
                <w:b/>
                <w:sz w:val="22"/>
              </w:rPr>
            </w:pPr>
          </w:p>
        </w:tc>
        <w:tc>
          <w:tcPr>
            <w:tcW w:w="1560" w:type="dxa"/>
            <w:shd w:val="clear" w:color="auto" w:fill="CCFFFF"/>
            <w:vAlign w:val="center"/>
          </w:tcPr>
          <w:p w14:paraId="47838340" w14:textId="77777777" w:rsidR="00886C90" w:rsidRDefault="00886C90" w:rsidP="00B55E10">
            <w:pPr>
              <w:rPr>
                <w:sz w:val="22"/>
              </w:rPr>
            </w:pPr>
            <w:r>
              <w:rPr>
                <w:sz w:val="22"/>
              </w:rPr>
              <w:t xml:space="preserve">Mental Health </w:t>
            </w:r>
          </w:p>
        </w:tc>
        <w:tc>
          <w:tcPr>
            <w:tcW w:w="3827" w:type="dxa"/>
            <w:gridSpan w:val="2"/>
            <w:vMerge/>
          </w:tcPr>
          <w:p w14:paraId="1B4EFD4D" w14:textId="77777777" w:rsidR="00886C90" w:rsidRDefault="00886C90" w:rsidP="00781F6A">
            <w:pPr>
              <w:rPr>
                <w:sz w:val="22"/>
              </w:rPr>
            </w:pPr>
          </w:p>
        </w:tc>
        <w:tc>
          <w:tcPr>
            <w:tcW w:w="3402" w:type="dxa"/>
            <w:vMerge/>
          </w:tcPr>
          <w:p w14:paraId="40583EA7" w14:textId="77777777" w:rsidR="00886C90" w:rsidRDefault="00886C90" w:rsidP="00781F6A">
            <w:pPr>
              <w:rPr>
                <w:sz w:val="22"/>
              </w:rPr>
            </w:pPr>
          </w:p>
        </w:tc>
        <w:tc>
          <w:tcPr>
            <w:tcW w:w="4111" w:type="dxa"/>
            <w:shd w:val="clear" w:color="auto" w:fill="FFCC99"/>
          </w:tcPr>
          <w:p w14:paraId="146851AE" w14:textId="77777777" w:rsidR="00886C90" w:rsidRDefault="00886C90" w:rsidP="00781F6A">
            <w:pPr>
              <w:rPr>
                <w:sz w:val="22"/>
              </w:rPr>
            </w:pPr>
          </w:p>
        </w:tc>
      </w:tr>
      <w:tr w:rsidR="00886C90" w14:paraId="3F823798" w14:textId="77777777" w:rsidTr="00EA454C">
        <w:tblPrEx>
          <w:tblCellMar>
            <w:top w:w="0" w:type="dxa"/>
            <w:bottom w:w="0" w:type="dxa"/>
          </w:tblCellMar>
        </w:tblPrEx>
        <w:trPr>
          <w:trHeight w:val="557"/>
        </w:trPr>
        <w:tc>
          <w:tcPr>
            <w:tcW w:w="1809" w:type="dxa"/>
            <w:vMerge/>
            <w:shd w:val="clear" w:color="auto" w:fill="CCFFFF"/>
          </w:tcPr>
          <w:p w14:paraId="34020557" w14:textId="77777777" w:rsidR="00886C90" w:rsidRPr="00534BCA" w:rsidRDefault="00886C90" w:rsidP="00781F6A">
            <w:pPr>
              <w:rPr>
                <w:b/>
                <w:sz w:val="22"/>
              </w:rPr>
            </w:pPr>
          </w:p>
        </w:tc>
        <w:tc>
          <w:tcPr>
            <w:tcW w:w="1560" w:type="dxa"/>
            <w:shd w:val="clear" w:color="auto" w:fill="CCFFFF"/>
            <w:vAlign w:val="center"/>
          </w:tcPr>
          <w:p w14:paraId="4C93B3C5" w14:textId="77777777" w:rsidR="00886C90" w:rsidRDefault="00886C90" w:rsidP="00B55E10">
            <w:pPr>
              <w:rPr>
                <w:sz w:val="22"/>
              </w:rPr>
            </w:pPr>
            <w:r>
              <w:rPr>
                <w:sz w:val="22"/>
              </w:rPr>
              <w:t>Learning Disability</w:t>
            </w:r>
          </w:p>
        </w:tc>
        <w:tc>
          <w:tcPr>
            <w:tcW w:w="3827" w:type="dxa"/>
            <w:gridSpan w:val="2"/>
            <w:vMerge/>
          </w:tcPr>
          <w:p w14:paraId="596477C0" w14:textId="77777777" w:rsidR="00886C90" w:rsidRDefault="00886C90" w:rsidP="00781F6A">
            <w:pPr>
              <w:rPr>
                <w:sz w:val="22"/>
              </w:rPr>
            </w:pPr>
          </w:p>
        </w:tc>
        <w:tc>
          <w:tcPr>
            <w:tcW w:w="3402" w:type="dxa"/>
            <w:vMerge/>
          </w:tcPr>
          <w:p w14:paraId="7E52E78C" w14:textId="77777777" w:rsidR="00886C90" w:rsidRDefault="00886C90" w:rsidP="00781F6A">
            <w:pPr>
              <w:rPr>
                <w:sz w:val="22"/>
              </w:rPr>
            </w:pPr>
          </w:p>
        </w:tc>
        <w:tc>
          <w:tcPr>
            <w:tcW w:w="4111" w:type="dxa"/>
            <w:shd w:val="clear" w:color="auto" w:fill="FFCC99"/>
          </w:tcPr>
          <w:p w14:paraId="4D89EE27" w14:textId="77777777" w:rsidR="00886C90" w:rsidRDefault="00886C90" w:rsidP="00781F6A">
            <w:pPr>
              <w:rPr>
                <w:sz w:val="22"/>
              </w:rPr>
            </w:pPr>
          </w:p>
        </w:tc>
      </w:tr>
      <w:tr w:rsidR="00163A6F" w14:paraId="6A0610D7" w14:textId="77777777" w:rsidTr="00EA454C">
        <w:tblPrEx>
          <w:tblCellMar>
            <w:top w:w="0" w:type="dxa"/>
            <w:bottom w:w="0" w:type="dxa"/>
          </w:tblCellMar>
        </w:tblPrEx>
        <w:trPr>
          <w:trHeight w:val="452"/>
        </w:trPr>
        <w:tc>
          <w:tcPr>
            <w:tcW w:w="1809" w:type="dxa"/>
            <w:shd w:val="clear" w:color="auto" w:fill="CCFFFF"/>
            <w:vAlign w:val="center"/>
          </w:tcPr>
          <w:p w14:paraId="019B8B81" w14:textId="77777777" w:rsidR="00163A6F" w:rsidRPr="00534BCA" w:rsidRDefault="00163A6F" w:rsidP="0070176D">
            <w:pPr>
              <w:rPr>
                <w:b/>
                <w:sz w:val="22"/>
              </w:rPr>
            </w:pPr>
            <w:r w:rsidRPr="00534BCA">
              <w:rPr>
                <w:b/>
                <w:sz w:val="22"/>
              </w:rPr>
              <w:t>LGBT</w:t>
            </w:r>
          </w:p>
        </w:tc>
        <w:tc>
          <w:tcPr>
            <w:tcW w:w="1560" w:type="dxa"/>
            <w:shd w:val="clear" w:color="auto" w:fill="CCFFFF"/>
            <w:vAlign w:val="center"/>
          </w:tcPr>
          <w:p w14:paraId="474379B4" w14:textId="77777777" w:rsidR="00163A6F" w:rsidRDefault="00163A6F" w:rsidP="00B55E10">
            <w:pPr>
              <w:rPr>
                <w:sz w:val="22"/>
              </w:rPr>
            </w:pPr>
            <w:r>
              <w:rPr>
                <w:sz w:val="22"/>
              </w:rPr>
              <w:t>Lesbians</w:t>
            </w:r>
          </w:p>
        </w:tc>
        <w:tc>
          <w:tcPr>
            <w:tcW w:w="3827" w:type="dxa"/>
            <w:gridSpan w:val="2"/>
          </w:tcPr>
          <w:p w14:paraId="02A0BDD2" w14:textId="77777777" w:rsidR="00163A6F" w:rsidRDefault="00163A6F" w:rsidP="00781F6A">
            <w:pPr>
              <w:rPr>
                <w:sz w:val="22"/>
              </w:rPr>
            </w:pPr>
          </w:p>
        </w:tc>
        <w:tc>
          <w:tcPr>
            <w:tcW w:w="3402" w:type="dxa"/>
          </w:tcPr>
          <w:p w14:paraId="6B9ECE8B" w14:textId="77777777" w:rsidR="00163A6F" w:rsidRDefault="00163A6F" w:rsidP="00781F6A">
            <w:pPr>
              <w:rPr>
                <w:sz w:val="22"/>
              </w:rPr>
            </w:pPr>
          </w:p>
        </w:tc>
        <w:tc>
          <w:tcPr>
            <w:tcW w:w="4111" w:type="dxa"/>
            <w:shd w:val="clear" w:color="auto" w:fill="FFCC99"/>
          </w:tcPr>
          <w:p w14:paraId="46669F9C" w14:textId="77777777" w:rsidR="00163A6F" w:rsidRDefault="00163A6F" w:rsidP="00781F6A">
            <w:pPr>
              <w:rPr>
                <w:sz w:val="22"/>
              </w:rPr>
            </w:pPr>
          </w:p>
        </w:tc>
      </w:tr>
      <w:tr w:rsidR="00163A6F" w14:paraId="085BF044" w14:textId="77777777" w:rsidTr="00EA454C">
        <w:tblPrEx>
          <w:tblCellMar>
            <w:top w:w="0" w:type="dxa"/>
            <w:bottom w:w="0" w:type="dxa"/>
          </w:tblCellMar>
        </w:tblPrEx>
        <w:trPr>
          <w:trHeight w:val="502"/>
        </w:trPr>
        <w:tc>
          <w:tcPr>
            <w:tcW w:w="1809" w:type="dxa"/>
            <w:shd w:val="clear" w:color="auto" w:fill="CCFFFF"/>
            <w:vAlign w:val="center"/>
          </w:tcPr>
          <w:p w14:paraId="05C0FAE6" w14:textId="77777777" w:rsidR="00163A6F" w:rsidRPr="00534BCA" w:rsidRDefault="00163A6F" w:rsidP="0070176D">
            <w:pPr>
              <w:rPr>
                <w:b/>
                <w:sz w:val="22"/>
              </w:rPr>
            </w:pPr>
          </w:p>
        </w:tc>
        <w:tc>
          <w:tcPr>
            <w:tcW w:w="1560" w:type="dxa"/>
            <w:shd w:val="clear" w:color="auto" w:fill="CCFFFF"/>
            <w:vAlign w:val="center"/>
          </w:tcPr>
          <w:p w14:paraId="57660785" w14:textId="77777777" w:rsidR="00163A6F" w:rsidRDefault="00163A6F" w:rsidP="00B55E10">
            <w:pPr>
              <w:rPr>
                <w:sz w:val="22"/>
              </w:rPr>
            </w:pPr>
            <w:r>
              <w:rPr>
                <w:sz w:val="22"/>
              </w:rPr>
              <w:t>Gay Men</w:t>
            </w:r>
          </w:p>
        </w:tc>
        <w:tc>
          <w:tcPr>
            <w:tcW w:w="3827" w:type="dxa"/>
            <w:gridSpan w:val="2"/>
          </w:tcPr>
          <w:p w14:paraId="003B5B7A" w14:textId="77777777" w:rsidR="00163A6F" w:rsidRDefault="00163A6F" w:rsidP="00781F6A">
            <w:pPr>
              <w:rPr>
                <w:sz w:val="22"/>
              </w:rPr>
            </w:pPr>
          </w:p>
        </w:tc>
        <w:tc>
          <w:tcPr>
            <w:tcW w:w="3402" w:type="dxa"/>
          </w:tcPr>
          <w:p w14:paraId="003108DA" w14:textId="77777777" w:rsidR="00163A6F" w:rsidRDefault="00163A6F" w:rsidP="00781F6A">
            <w:pPr>
              <w:rPr>
                <w:sz w:val="22"/>
              </w:rPr>
            </w:pPr>
          </w:p>
        </w:tc>
        <w:tc>
          <w:tcPr>
            <w:tcW w:w="4111" w:type="dxa"/>
            <w:shd w:val="clear" w:color="auto" w:fill="FFCC99"/>
          </w:tcPr>
          <w:p w14:paraId="742D4924" w14:textId="77777777" w:rsidR="00163A6F" w:rsidRDefault="00163A6F" w:rsidP="00781F6A">
            <w:pPr>
              <w:rPr>
                <w:sz w:val="22"/>
              </w:rPr>
            </w:pPr>
          </w:p>
        </w:tc>
      </w:tr>
      <w:tr w:rsidR="00163A6F" w14:paraId="1D846B6F" w14:textId="77777777" w:rsidTr="00EA454C">
        <w:tblPrEx>
          <w:tblCellMar>
            <w:top w:w="0" w:type="dxa"/>
            <w:bottom w:w="0" w:type="dxa"/>
          </w:tblCellMar>
        </w:tblPrEx>
        <w:trPr>
          <w:trHeight w:val="551"/>
        </w:trPr>
        <w:tc>
          <w:tcPr>
            <w:tcW w:w="1809" w:type="dxa"/>
            <w:shd w:val="clear" w:color="auto" w:fill="CCFFFF"/>
            <w:vAlign w:val="center"/>
          </w:tcPr>
          <w:p w14:paraId="4A1D1AC6" w14:textId="77777777" w:rsidR="00163A6F" w:rsidRPr="00534BCA" w:rsidRDefault="00163A6F" w:rsidP="0070176D">
            <w:pPr>
              <w:rPr>
                <w:b/>
                <w:sz w:val="22"/>
              </w:rPr>
            </w:pPr>
          </w:p>
        </w:tc>
        <w:tc>
          <w:tcPr>
            <w:tcW w:w="1560" w:type="dxa"/>
            <w:shd w:val="clear" w:color="auto" w:fill="CCFFFF"/>
            <w:vAlign w:val="center"/>
          </w:tcPr>
          <w:p w14:paraId="5998EF00" w14:textId="77777777" w:rsidR="00163A6F" w:rsidRDefault="00163A6F" w:rsidP="00B55E10">
            <w:pPr>
              <w:rPr>
                <w:sz w:val="22"/>
              </w:rPr>
            </w:pPr>
            <w:r>
              <w:rPr>
                <w:sz w:val="22"/>
              </w:rPr>
              <w:t>Bisexual</w:t>
            </w:r>
          </w:p>
        </w:tc>
        <w:tc>
          <w:tcPr>
            <w:tcW w:w="3827" w:type="dxa"/>
            <w:gridSpan w:val="2"/>
          </w:tcPr>
          <w:p w14:paraId="5B15C15E" w14:textId="77777777" w:rsidR="00163A6F" w:rsidRDefault="00163A6F" w:rsidP="00781F6A">
            <w:pPr>
              <w:rPr>
                <w:sz w:val="22"/>
              </w:rPr>
            </w:pPr>
          </w:p>
        </w:tc>
        <w:tc>
          <w:tcPr>
            <w:tcW w:w="3402" w:type="dxa"/>
          </w:tcPr>
          <w:p w14:paraId="6CA82257" w14:textId="77777777" w:rsidR="00163A6F" w:rsidRDefault="00163A6F" w:rsidP="00781F6A">
            <w:pPr>
              <w:rPr>
                <w:sz w:val="22"/>
              </w:rPr>
            </w:pPr>
          </w:p>
        </w:tc>
        <w:tc>
          <w:tcPr>
            <w:tcW w:w="4111" w:type="dxa"/>
            <w:shd w:val="clear" w:color="auto" w:fill="FFCC99"/>
          </w:tcPr>
          <w:p w14:paraId="093A52BA" w14:textId="77777777" w:rsidR="00163A6F" w:rsidRDefault="00163A6F" w:rsidP="00781F6A">
            <w:pPr>
              <w:rPr>
                <w:sz w:val="22"/>
              </w:rPr>
            </w:pPr>
          </w:p>
        </w:tc>
      </w:tr>
      <w:tr w:rsidR="00874EAF" w14:paraId="1836E24E" w14:textId="77777777" w:rsidTr="00EA454C">
        <w:tblPrEx>
          <w:tblCellMar>
            <w:top w:w="0" w:type="dxa"/>
            <w:bottom w:w="0" w:type="dxa"/>
          </w:tblCellMar>
        </w:tblPrEx>
        <w:tc>
          <w:tcPr>
            <w:tcW w:w="14709" w:type="dxa"/>
            <w:gridSpan w:val="6"/>
            <w:shd w:val="clear" w:color="auto" w:fill="auto"/>
            <w:vAlign w:val="center"/>
          </w:tcPr>
          <w:p w14:paraId="7C1A4E33" w14:textId="77777777" w:rsidR="00874EAF" w:rsidRPr="00CD7794" w:rsidRDefault="00874EAF" w:rsidP="0070176D">
            <w:pPr>
              <w:rPr>
                <w:sz w:val="18"/>
                <w:szCs w:val="18"/>
              </w:rPr>
            </w:pPr>
          </w:p>
        </w:tc>
      </w:tr>
      <w:tr w:rsidR="00453B88" w14:paraId="3FB01702" w14:textId="77777777" w:rsidTr="00EA454C">
        <w:tblPrEx>
          <w:tblCellMar>
            <w:top w:w="0" w:type="dxa"/>
            <w:bottom w:w="0" w:type="dxa"/>
          </w:tblCellMar>
        </w:tblPrEx>
        <w:trPr>
          <w:trHeight w:val="490"/>
        </w:trPr>
        <w:tc>
          <w:tcPr>
            <w:tcW w:w="1809" w:type="dxa"/>
            <w:shd w:val="clear" w:color="auto" w:fill="CCFFFF"/>
            <w:vAlign w:val="center"/>
          </w:tcPr>
          <w:p w14:paraId="0C9493D8" w14:textId="77777777" w:rsidR="00453B88" w:rsidRPr="00534BCA" w:rsidRDefault="00453B88" w:rsidP="0070176D">
            <w:pPr>
              <w:rPr>
                <w:b/>
                <w:sz w:val="22"/>
              </w:rPr>
            </w:pPr>
            <w:r w:rsidRPr="00534BCA">
              <w:rPr>
                <w:b/>
                <w:sz w:val="22"/>
              </w:rPr>
              <w:t>AGE</w:t>
            </w:r>
          </w:p>
        </w:tc>
        <w:tc>
          <w:tcPr>
            <w:tcW w:w="1560" w:type="dxa"/>
            <w:shd w:val="clear" w:color="auto" w:fill="CCFFFF"/>
            <w:vAlign w:val="center"/>
          </w:tcPr>
          <w:p w14:paraId="3AF88037" w14:textId="77777777" w:rsidR="00453B88" w:rsidRDefault="00453B88" w:rsidP="00B55E10">
            <w:pPr>
              <w:rPr>
                <w:sz w:val="22"/>
              </w:rPr>
            </w:pPr>
            <w:r>
              <w:rPr>
                <w:sz w:val="22"/>
              </w:rPr>
              <w:t>Older People (60 +)</w:t>
            </w:r>
          </w:p>
        </w:tc>
        <w:tc>
          <w:tcPr>
            <w:tcW w:w="3827" w:type="dxa"/>
            <w:gridSpan w:val="2"/>
            <w:vMerge w:val="restart"/>
          </w:tcPr>
          <w:p w14:paraId="6A5B810A" w14:textId="77777777" w:rsidR="00453B88" w:rsidRDefault="00453B88" w:rsidP="00EA454C">
            <w:pPr>
              <w:rPr>
                <w:sz w:val="22"/>
              </w:rPr>
            </w:pPr>
            <w:r>
              <w:rPr>
                <w:sz w:val="22"/>
              </w:rPr>
              <w:t>Whi</w:t>
            </w:r>
            <w:r w:rsidR="00FB749C">
              <w:rPr>
                <w:sz w:val="22"/>
              </w:rPr>
              <w:t>le</w:t>
            </w:r>
            <w:r>
              <w:rPr>
                <w:sz w:val="22"/>
              </w:rPr>
              <w:t xml:space="preserve"> ages, marriage</w:t>
            </w:r>
            <w:r w:rsidR="00426C18">
              <w:rPr>
                <w:sz w:val="22"/>
              </w:rPr>
              <w:t xml:space="preserve">, religion </w:t>
            </w:r>
            <w:r>
              <w:rPr>
                <w:sz w:val="22"/>
              </w:rPr>
              <w:t xml:space="preserve">and pregnancy were not asked for as part of the consultation nor provided in any consultation response, the Committee is aware that if it were to set an appropriate number of SEVs for the locality </w:t>
            </w:r>
            <w:r w:rsidR="002377D3">
              <w:rPr>
                <w:sz w:val="22"/>
              </w:rPr>
              <w:t xml:space="preserve">at 0 but give grandfather rights to those SEVs currently in existence as at 24 March 2021, </w:t>
            </w:r>
            <w:r>
              <w:rPr>
                <w:sz w:val="22"/>
              </w:rPr>
              <w:t xml:space="preserve">this would ensure that SEV workers retain their employment in these venues and continue to receive an income. This would mean that any dependents they may have </w:t>
            </w:r>
            <w:r w:rsidR="00426C18">
              <w:rPr>
                <w:sz w:val="22"/>
              </w:rPr>
              <w:t>(whether children/</w:t>
            </w:r>
            <w:r>
              <w:rPr>
                <w:sz w:val="22"/>
              </w:rPr>
              <w:t xml:space="preserve">partners/parents/grandparents) would not be adversely affected by the loss of the income. </w:t>
            </w:r>
          </w:p>
          <w:p w14:paraId="53724C46" w14:textId="77777777" w:rsidR="00120BF2" w:rsidRDefault="00120BF2" w:rsidP="00EA454C">
            <w:pPr>
              <w:rPr>
                <w:sz w:val="22"/>
              </w:rPr>
            </w:pPr>
          </w:p>
          <w:p w14:paraId="62E50BFE" w14:textId="77777777" w:rsidR="00120BF2" w:rsidRPr="001742F6" w:rsidRDefault="008B6877" w:rsidP="00EA454C">
            <w:pPr>
              <w:rPr>
                <w:color w:val="FF0000"/>
                <w:sz w:val="22"/>
              </w:rPr>
            </w:pPr>
            <w:r w:rsidRPr="001742F6">
              <w:rPr>
                <w:color w:val="FF0000"/>
                <w:sz w:val="22"/>
              </w:rPr>
              <w:t xml:space="preserve"> </w:t>
            </w:r>
          </w:p>
        </w:tc>
        <w:tc>
          <w:tcPr>
            <w:tcW w:w="3402" w:type="dxa"/>
            <w:vMerge w:val="restart"/>
          </w:tcPr>
          <w:p w14:paraId="080A0510" w14:textId="77777777" w:rsidR="00453B88" w:rsidRPr="001742F6" w:rsidRDefault="00453B88" w:rsidP="00EA454C">
            <w:pPr>
              <w:rPr>
                <w:sz w:val="22"/>
              </w:rPr>
            </w:pPr>
            <w:r w:rsidRPr="001742F6">
              <w:rPr>
                <w:sz w:val="22"/>
              </w:rPr>
              <w:t>Whil</w:t>
            </w:r>
            <w:r w:rsidR="00FB749C" w:rsidRPr="001742F6">
              <w:rPr>
                <w:sz w:val="22"/>
              </w:rPr>
              <w:t>e</w:t>
            </w:r>
            <w:r w:rsidRPr="001742F6">
              <w:rPr>
                <w:sz w:val="22"/>
              </w:rPr>
              <w:t xml:space="preserve"> ages, marriage</w:t>
            </w:r>
            <w:r w:rsidR="00426C18" w:rsidRPr="001742F6">
              <w:rPr>
                <w:sz w:val="22"/>
              </w:rPr>
              <w:t xml:space="preserve">, religion </w:t>
            </w:r>
            <w:r w:rsidRPr="001742F6">
              <w:rPr>
                <w:sz w:val="22"/>
              </w:rPr>
              <w:t xml:space="preserve"> and pregnancy were not asked for as part of the consultation nor provided in any consultation response, the Committee is aware that if it were to set the appropriate number of SEVs for the locality </w:t>
            </w:r>
            <w:r w:rsidR="00603957" w:rsidRPr="001742F6">
              <w:rPr>
                <w:sz w:val="22"/>
              </w:rPr>
              <w:t>to zero,</w:t>
            </w:r>
            <w:r w:rsidR="002377D3">
              <w:rPr>
                <w:sz w:val="22"/>
              </w:rPr>
              <w:t xml:space="preserve"> without grandfather rights, </w:t>
            </w:r>
            <w:r w:rsidR="00603957" w:rsidRPr="001742F6">
              <w:rPr>
                <w:sz w:val="22"/>
              </w:rPr>
              <w:t xml:space="preserve"> </w:t>
            </w:r>
            <w:r w:rsidRPr="001742F6">
              <w:rPr>
                <w:sz w:val="22"/>
              </w:rPr>
              <w:t xml:space="preserve">this could result in a loss of income for SEV workers. This could negatively impact on any dependents (whether children, partners/parents/grandparents) who rely on that income. </w:t>
            </w:r>
          </w:p>
          <w:p w14:paraId="0370FEF9" w14:textId="77777777" w:rsidR="001742F6" w:rsidRPr="001742F6" w:rsidRDefault="001742F6" w:rsidP="00EA454C">
            <w:pPr>
              <w:rPr>
                <w:sz w:val="22"/>
              </w:rPr>
            </w:pPr>
          </w:p>
          <w:p w14:paraId="20F246DD" w14:textId="77777777" w:rsidR="008B6877" w:rsidRPr="001742F6" w:rsidRDefault="008B6877" w:rsidP="00EA454C">
            <w:pPr>
              <w:rPr>
                <w:sz w:val="22"/>
              </w:rPr>
            </w:pPr>
          </w:p>
        </w:tc>
        <w:tc>
          <w:tcPr>
            <w:tcW w:w="4111" w:type="dxa"/>
            <w:shd w:val="clear" w:color="auto" w:fill="FFCC99"/>
          </w:tcPr>
          <w:p w14:paraId="09954CCD" w14:textId="77777777" w:rsidR="00453B88" w:rsidRDefault="00453B88" w:rsidP="00781F6A">
            <w:pPr>
              <w:rPr>
                <w:sz w:val="22"/>
              </w:rPr>
            </w:pPr>
          </w:p>
        </w:tc>
      </w:tr>
      <w:tr w:rsidR="00453B88" w14:paraId="53031E05" w14:textId="77777777" w:rsidTr="00EA454C">
        <w:tblPrEx>
          <w:tblCellMar>
            <w:top w:w="0" w:type="dxa"/>
            <w:bottom w:w="0" w:type="dxa"/>
          </w:tblCellMar>
        </w:tblPrEx>
        <w:tc>
          <w:tcPr>
            <w:tcW w:w="1809" w:type="dxa"/>
            <w:shd w:val="clear" w:color="auto" w:fill="CCFFFF"/>
          </w:tcPr>
          <w:p w14:paraId="616F8CF4" w14:textId="77777777" w:rsidR="00453B88" w:rsidRPr="00534BCA" w:rsidRDefault="00453B88" w:rsidP="00781F6A">
            <w:pPr>
              <w:rPr>
                <w:b/>
                <w:sz w:val="22"/>
              </w:rPr>
            </w:pPr>
          </w:p>
        </w:tc>
        <w:tc>
          <w:tcPr>
            <w:tcW w:w="1560" w:type="dxa"/>
            <w:shd w:val="clear" w:color="auto" w:fill="CCFFFF"/>
            <w:vAlign w:val="center"/>
          </w:tcPr>
          <w:p w14:paraId="0F7F55B2" w14:textId="77777777" w:rsidR="00453B88" w:rsidRDefault="00453B88" w:rsidP="00B55E10">
            <w:pPr>
              <w:rPr>
                <w:sz w:val="22"/>
              </w:rPr>
            </w:pPr>
            <w:r>
              <w:rPr>
                <w:sz w:val="22"/>
              </w:rPr>
              <w:t>Younger People (16-25)</w:t>
            </w:r>
          </w:p>
        </w:tc>
        <w:tc>
          <w:tcPr>
            <w:tcW w:w="3827" w:type="dxa"/>
            <w:gridSpan w:val="2"/>
            <w:vMerge/>
          </w:tcPr>
          <w:p w14:paraId="2307341B" w14:textId="77777777" w:rsidR="00453B88" w:rsidRDefault="00453B88" w:rsidP="00EA454C">
            <w:pPr>
              <w:rPr>
                <w:sz w:val="22"/>
              </w:rPr>
            </w:pPr>
          </w:p>
        </w:tc>
        <w:tc>
          <w:tcPr>
            <w:tcW w:w="3402" w:type="dxa"/>
            <w:vMerge/>
          </w:tcPr>
          <w:p w14:paraId="6666AA40" w14:textId="77777777" w:rsidR="00453B88" w:rsidRDefault="00453B88" w:rsidP="00EA454C">
            <w:pPr>
              <w:rPr>
                <w:sz w:val="22"/>
              </w:rPr>
            </w:pPr>
          </w:p>
        </w:tc>
        <w:tc>
          <w:tcPr>
            <w:tcW w:w="4111" w:type="dxa"/>
            <w:shd w:val="clear" w:color="auto" w:fill="FFCC99"/>
          </w:tcPr>
          <w:p w14:paraId="0B9E4D2B" w14:textId="77777777" w:rsidR="00453B88" w:rsidRDefault="00453B88" w:rsidP="00781F6A">
            <w:pPr>
              <w:rPr>
                <w:sz w:val="22"/>
              </w:rPr>
            </w:pPr>
          </w:p>
        </w:tc>
      </w:tr>
      <w:tr w:rsidR="00453B88" w14:paraId="637D8888" w14:textId="77777777" w:rsidTr="00EA454C">
        <w:tblPrEx>
          <w:tblCellMar>
            <w:top w:w="0" w:type="dxa"/>
            <w:bottom w:w="0" w:type="dxa"/>
          </w:tblCellMar>
        </w:tblPrEx>
        <w:trPr>
          <w:trHeight w:val="591"/>
        </w:trPr>
        <w:tc>
          <w:tcPr>
            <w:tcW w:w="1809" w:type="dxa"/>
            <w:shd w:val="clear" w:color="auto" w:fill="CCFFFF"/>
          </w:tcPr>
          <w:p w14:paraId="39A396E2" w14:textId="77777777" w:rsidR="00453B88" w:rsidRPr="00534BCA" w:rsidRDefault="00453B88" w:rsidP="00781F6A">
            <w:pPr>
              <w:rPr>
                <w:b/>
                <w:sz w:val="22"/>
              </w:rPr>
            </w:pPr>
          </w:p>
        </w:tc>
        <w:tc>
          <w:tcPr>
            <w:tcW w:w="1560" w:type="dxa"/>
            <w:shd w:val="clear" w:color="auto" w:fill="CCFFFF"/>
            <w:vAlign w:val="center"/>
          </w:tcPr>
          <w:p w14:paraId="53E0399C" w14:textId="77777777" w:rsidR="00453B88" w:rsidRDefault="00453B88" w:rsidP="00B55E10">
            <w:pPr>
              <w:rPr>
                <w:sz w:val="22"/>
              </w:rPr>
            </w:pPr>
            <w:r>
              <w:rPr>
                <w:sz w:val="22"/>
              </w:rPr>
              <w:t>Children (0-16)</w:t>
            </w:r>
          </w:p>
        </w:tc>
        <w:tc>
          <w:tcPr>
            <w:tcW w:w="3827" w:type="dxa"/>
            <w:gridSpan w:val="2"/>
            <w:vMerge/>
          </w:tcPr>
          <w:p w14:paraId="5C0F09E2" w14:textId="77777777" w:rsidR="00453B88" w:rsidRDefault="00453B88" w:rsidP="00EA454C">
            <w:pPr>
              <w:rPr>
                <w:sz w:val="22"/>
              </w:rPr>
            </w:pPr>
          </w:p>
        </w:tc>
        <w:tc>
          <w:tcPr>
            <w:tcW w:w="3402" w:type="dxa"/>
            <w:vMerge/>
          </w:tcPr>
          <w:p w14:paraId="47FB18BD" w14:textId="77777777" w:rsidR="00453B88" w:rsidRDefault="00453B88" w:rsidP="00EA454C">
            <w:pPr>
              <w:rPr>
                <w:sz w:val="22"/>
              </w:rPr>
            </w:pPr>
          </w:p>
        </w:tc>
        <w:tc>
          <w:tcPr>
            <w:tcW w:w="4111" w:type="dxa"/>
            <w:shd w:val="clear" w:color="auto" w:fill="FFCC99"/>
          </w:tcPr>
          <w:p w14:paraId="06F0EB3F" w14:textId="77777777" w:rsidR="00453B88" w:rsidRDefault="00453B88" w:rsidP="00781F6A">
            <w:pPr>
              <w:rPr>
                <w:sz w:val="22"/>
              </w:rPr>
            </w:pPr>
          </w:p>
        </w:tc>
      </w:tr>
      <w:tr w:rsidR="00874EAF" w14:paraId="29B9E45A" w14:textId="77777777" w:rsidTr="00EA454C">
        <w:tblPrEx>
          <w:tblCellMar>
            <w:top w:w="0" w:type="dxa"/>
            <w:bottom w:w="0" w:type="dxa"/>
          </w:tblCellMar>
        </w:tblPrEx>
        <w:tc>
          <w:tcPr>
            <w:tcW w:w="14709" w:type="dxa"/>
            <w:gridSpan w:val="6"/>
            <w:shd w:val="clear" w:color="auto" w:fill="auto"/>
            <w:vAlign w:val="center"/>
          </w:tcPr>
          <w:p w14:paraId="61EBAF88" w14:textId="77777777" w:rsidR="00874EAF" w:rsidRPr="00CD7794" w:rsidRDefault="00874EAF" w:rsidP="00EA454C">
            <w:pPr>
              <w:rPr>
                <w:sz w:val="18"/>
                <w:szCs w:val="18"/>
              </w:rPr>
            </w:pPr>
          </w:p>
        </w:tc>
      </w:tr>
      <w:tr w:rsidR="00453B88" w14:paraId="55B01E17" w14:textId="77777777" w:rsidTr="00EA454C">
        <w:tblPrEx>
          <w:tblCellMar>
            <w:top w:w="0" w:type="dxa"/>
            <w:bottom w:w="0" w:type="dxa"/>
          </w:tblCellMar>
        </w:tblPrEx>
        <w:tc>
          <w:tcPr>
            <w:tcW w:w="1809" w:type="dxa"/>
            <w:shd w:val="clear" w:color="auto" w:fill="CCFFFF"/>
          </w:tcPr>
          <w:p w14:paraId="5B7A1268" w14:textId="77777777" w:rsidR="00453B88" w:rsidRPr="0070176D" w:rsidRDefault="00453B88" w:rsidP="00781F6A">
            <w:pPr>
              <w:rPr>
                <w:rFonts w:cs="Arial"/>
                <w:b/>
                <w:sz w:val="22"/>
                <w:szCs w:val="22"/>
              </w:rPr>
            </w:pPr>
            <w:r w:rsidRPr="0070176D">
              <w:rPr>
                <w:rFonts w:cs="Arial"/>
                <w:b/>
                <w:sz w:val="22"/>
                <w:szCs w:val="22"/>
              </w:rPr>
              <w:t xml:space="preserve">MARRIAGE </w:t>
            </w:r>
          </w:p>
          <w:p w14:paraId="75210515" w14:textId="77777777" w:rsidR="00453B88" w:rsidRPr="00534BCA" w:rsidRDefault="00453B88" w:rsidP="00781F6A">
            <w:pPr>
              <w:rPr>
                <w:rFonts w:cs="Arial"/>
                <w:b/>
                <w:szCs w:val="24"/>
              </w:rPr>
            </w:pPr>
            <w:r w:rsidRPr="0070176D">
              <w:rPr>
                <w:rFonts w:cs="Arial"/>
                <w:b/>
                <w:sz w:val="22"/>
                <w:szCs w:val="22"/>
              </w:rPr>
              <w:t>&amp; CIVIL PARTNERSHIP</w:t>
            </w:r>
          </w:p>
        </w:tc>
        <w:tc>
          <w:tcPr>
            <w:tcW w:w="1560" w:type="dxa"/>
            <w:shd w:val="clear" w:color="auto" w:fill="CCFFFF"/>
            <w:vAlign w:val="center"/>
          </w:tcPr>
          <w:p w14:paraId="0ECCE6A6" w14:textId="77777777" w:rsidR="00453B88" w:rsidRDefault="00453B88" w:rsidP="00B55E10">
            <w:pPr>
              <w:rPr>
                <w:sz w:val="22"/>
              </w:rPr>
            </w:pPr>
            <w:r>
              <w:rPr>
                <w:sz w:val="22"/>
              </w:rPr>
              <w:t>Women</w:t>
            </w:r>
          </w:p>
        </w:tc>
        <w:tc>
          <w:tcPr>
            <w:tcW w:w="3827" w:type="dxa"/>
            <w:gridSpan w:val="2"/>
            <w:vMerge w:val="restart"/>
          </w:tcPr>
          <w:p w14:paraId="65B9370F" w14:textId="77777777" w:rsidR="00453B88" w:rsidRDefault="001742F6" w:rsidP="00EA454C">
            <w:pPr>
              <w:rPr>
                <w:sz w:val="22"/>
              </w:rPr>
            </w:pPr>
            <w:r>
              <w:rPr>
                <w:sz w:val="22"/>
              </w:rPr>
              <w:t>This was not asked about in the consultation and was not raised in any responses</w:t>
            </w:r>
            <w:r w:rsidR="00CF7B6F">
              <w:rPr>
                <w:sz w:val="22"/>
              </w:rPr>
              <w:t xml:space="preserve">. </w:t>
            </w:r>
            <w:r w:rsidR="008E740B">
              <w:rPr>
                <w:sz w:val="22"/>
              </w:rPr>
              <w:t xml:space="preserve"> Please see comments regarding SEV workers being married in “female” section above.</w:t>
            </w:r>
          </w:p>
        </w:tc>
        <w:tc>
          <w:tcPr>
            <w:tcW w:w="3402" w:type="dxa"/>
            <w:vMerge w:val="restart"/>
          </w:tcPr>
          <w:p w14:paraId="0D82229A" w14:textId="77777777" w:rsidR="00453B88" w:rsidRDefault="00453B88" w:rsidP="00EA454C">
            <w:pPr>
              <w:rPr>
                <w:sz w:val="22"/>
              </w:rPr>
            </w:pPr>
          </w:p>
        </w:tc>
        <w:tc>
          <w:tcPr>
            <w:tcW w:w="4111" w:type="dxa"/>
            <w:shd w:val="clear" w:color="auto" w:fill="FFCC99"/>
          </w:tcPr>
          <w:p w14:paraId="547633DA" w14:textId="77777777" w:rsidR="00453B88" w:rsidRDefault="00453B88" w:rsidP="00781F6A">
            <w:pPr>
              <w:rPr>
                <w:sz w:val="22"/>
              </w:rPr>
            </w:pPr>
          </w:p>
        </w:tc>
      </w:tr>
      <w:tr w:rsidR="00453B88" w14:paraId="5F016A59" w14:textId="77777777" w:rsidTr="00EA454C">
        <w:tblPrEx>
          <w:tblCellMar>
            <w:top w:w="0" w:type="dxa"/>
            <w:bottom w:w="0" w:type="dxa"/>
          </w:tblCellMar>
        </w:tblPrEx>
        <w:trPr>
          <w:trHeight w:val="543"/>
        </w:trPr>
        <w:tc>
          <w:tcPr>
            <w:tcW w:w="1809" w:type="dxa"/>
            <w:shd w:val="clear" w:color="auto" w:fill="CCFFFF"/>
          </w:tcPr>
          <w:p w14:paraId="607F47C6" w14:textId="77777777" w:rsidR="00453B88" w:rsidRPr="00534BCA" w:rsidRDefault="00453B88" w:rsidP="00781F6A">
            <w:pPr>
              <w:rPr>
                <w:b/>
                <w:sz w:val="22"/>
              </w:rPr>
            </w:pPr>
          </w:p>
        </w:tc>
        <w:tc>
          <w:tcPr>
            <w:tcW w:w="1560" w:type="dxa"/>
            <w:shd w:val="clear" w:color="auto" w:fill="CCFFFF"/>
            <w:vAlign w:val="center"/>
          </w:tcPr>
          <w:p w14:paraId="0DF15498" w14:textId="77777777" w:rsidR="00453B88" w:rsidRDefault="00453B88" w:rsidP="00B55E10">
            <w:pPr>
              <w:rPr>
                <w:sz w:val="22"/>
              </w:rPr>
            </w:pPr>
            <w:r>
              <w:rPr>
                <w:sz w:val="22"/>
              </w:rPr>
              <w:t>Men</w:t>
            </w:r>
          </w:p>
        </w:tc>
        <w:tc>
          <w:tcPr>
            <w:tcW w:w="3827" w:type="dxa"/>
            <w:gridSpan w:val="2"/>
            <w:vMerge/>
          </w:tcPr>
          <w:p w14:paraId="7E4700A4" w14:textId="77777777" w:rsidR="00453B88" w:rsidRDefault="00453B88" w:rsidP="00781F6A">
            <w:pPr>
              <w:rPr>
                <w:sz w:val="22"/>
              </w:rPr>
            </w:pPr>
          </w:p>
        </w:tc>
        <w:tc>
          <w:tcPr>
            <w:tcW w:w="3402" w:type="dxa"/>
            <w:vMerge/>
          </w:tcPr>
          <w:p w14:paraId="04F080FA" w14:textId="77777777" w:rsidR="00453B88" w:rsidRDefault="00453B88" w:rsidP="00781F6A">
            <w:pPr>
              <w:rPr>
                <w:sz w:val="22"/>
              </w:rPr>
            </w:pPr>
          </w:p>
        </w:tc>
        <w:tc>
          <w:tcPr>
            <w:tcW w:w="4111" w:type="dxa"/>
            <w:shd w:val="clear" w:color="auto" w:fill="FFCC99"/>
          </w:tcPr>
          <w:p w14:paraId="1990B1CB" w14:textId="77777777" w:rsidR="00453B88" w:rsidRDefault="00453B88" w:rsidP="00781F6A">
            <w:pPr>
              <w:rPr>
                <w:sz w:val="22"/>
              </w:rPr>
            </w:pPr>
          </w:p>
        </w:tc>
      </w:tr>
      <w:tr w:rsidR="00453B88" w14:paraId="3B7B25F3" w14:textId="77777777" w:rsidTr="00EA454C">
        <w:tblPrEx>
          <w:tblCellMar>
            <w:top w:w="0" w:type="dxa"/>
            <w:bottom w:w="0" w:type="dxa"/>
          </w:tblCellMar>
        </w:tblPrEx>
        <w:trPr>
          <w:trHeight w:val="593"/>
        </w:trPr>
        <w:tc>
          <w:tcPr>
            <w:tcW w:w="1809" w:type="dxa"/>
            <w:shd w:val="clear" w:color="auto" w:fill="CCFFFF"/>
          </w:tcPr>
          <w:p w14:paraId="5459BB9C" w14:textId="77777777" w:rsidR="00453B88" w:rsidRPr="00534BCA" w:rsidRDefault="00453B88" w:rsidP="00781F6A">
            <w:pPr>
              <w:rPr>
                <w:b/>
                <w:sz w:val="22"/>
              </w:rPr>
            </w:pPr>
          </w:p>
        </w:tc>
        <w:tc>
          <w:tcPr>
            <w:tcW w:w="1560" w:type="dxa"/>
            <w:shd w:val="clear" w:color="auto" w:fill="CCFFFF"/>
            <w:vAlign w:val="center"/>
          </w:tcPr>
          <w:p w14:paraId="117F435D" w14:textId="77777777" w:rsidR="00453B88" w:rsidRDefault="00453B88" w:rsidP="00B55E10">
            <w:pPr>
              <w:rPr>
                <w:sz w:val="22"/>
              </w:rPr>
            </w:pPr>
            <w:r>
              <w:rPr>
                <w:sz w:val="22"/>
              </w:rPr>
              <w:t>Lesbians</w:t>
            </w:r>
          </w:p>
        </w:tc>
        <w:tc>
          <w:tcPr>
            <w:tcW w:w="3827" w:type="dxa"/>
            <w:gridSpan w:val="2"/>
            <w:vMerge/>
          </w:tcPr>
          <w:p w14:paraId="5A480BA5" w14:textId="77777777" w:rsidR="00453B88" w:rsidRDefault="00453B88" w:rsidP="00781F6A">
            <w:pPr>
              <w:rPr>
                <w:sz w:val="22"/>
              </w:rPr>
            </w:pPr>
          </w:p>
        </w:tc>
        <w:tc>
          <w:tcPr>
            <w:tcW w:w="3402" w:type="dxa"/>
            <w:vMerge/>
          </w:tcPr>
          <w:p w14:paraId="18F39003" w14:textId="77777777" w:rsidR="00453B88" w:rsidRDefault="00453B88" w:rsidP="00781F6A">
            <w:pPr>
              <w:rPr>
                <w:sz w:val="22"/>
              </w:rPr>
            </w:pPr>
          </w:p>
        </w:tc>
        <w:tc>
          <w:tcPr>
            <w:tcW w:w="4111" w:type="dxa"/>
            <w:shd w:val="clear" w:color="auto" w:fill="FFCC99"/>
          </w:tcPr>
          <w:p w14:paraId="52E8791D" w14:textId="77777777" w:rsidR="00453B88" w:rsidRDefault="00453B88" w:rsidP="00781F6A">
            <w:pPr>
              <w:rPr>
                <w:sz w:val="22"/>
              </w:rPr>
            </w:pPr>
          </w:p>
        </w:tc>
      </w:tr>
      <w:tr w:rsidR="00453B88" w14:paraId="63CBFDD5" w14:textId="77777777" w:rsidTr="00EA454C">
        <w:tblPrEx>
          <w:tblCellMar>
            <w:top w:w="0" w:type="dxa"/>
            <w:bottom w:w="0" w:type="dxa"/>
          </w:tblCellMar>
        </w:tblPrEx>
        <w:trPr>
          <w:trHeight w:val="501"/>
        </w:trPr>
        <w:tc>
          <w:tcPr>
            <w:tcW w:w="1809" w:type="dxa"/>
            <w:shd w:val="clear" w:color="auto" w:fill="CCFFFF"/>
          </w:tcPr>
          <w:p w14:paraId="7E6BC200" w14:textId="77777777" w:rsidR="00453B88" w:rsidRPr="00534BCA" w:rsidRDefault="00453B88" w:rsidP="00781F6A">
            <w:pPr>
              <w:rPr>
                <w:b/>
                <w:sz w:val="22"/>
              </w:rPr>
            </w:pPr>
          </w:p>
        </w:tc>
        <w:tc>
          <w:tcPr>
            <w:tcW w:w="1560" w:type="dxa"/>
            <w:shd w:val="clear" w:color="auto" w:fill="CCFFFF"/>
            <w:vAlign w:val="center"/>
          </w:tcPr>
          <w:p w14:paraId="06FE7B54" w14:textId="77777777" w:rsidR="00453B88" w:rsidRDefault="00453B88" w:rsidP="00B55E10">
            <w:pPr>
              <w:rPr>
                <w:sz w:val="22"/>
              </w:rPr>
            </w:pPr>
            <w:r>
              <w:rPr>
                <w:sz w:val="22"/>
              </w:rPr>
              <w:t>Gay Men</w:t>
            </w:r>
          </w:p>
        </w:tc>
        <w:tc>
          <w:tcPr>
            <w:tcW w:w="3827" w:type="dxa"/>
            <w:gridSpan w:val="2"/>
            <w:vMerge/>
          </w:tcPr>
          <w:p w14:paraId="6BCE0CC5" w14:textId="77777777" w:rsidR="00453B88" w:rsidRDefault="00453B88" w:rsidP="00781F6A">
            <w:pPr>
              <w:rPr>
                <w:sz w:val="22"/>
              </w:rPr>
            </w:pPr>
          </w:p>
        </w:tc>
        <w:tc>
          <w:tcPr>
            <w:tcW w:w="3402" w:type="dxa"/>
            <w:vMerge/>
          </w:tcPr>
          <w:p w14:paraId="5ACCD7CD" w14:textId="77777777" w:rsidR="00453B88" w:rsidRDefault="00453B88" w:rsidP="00781F6A">
            <w:pPr>
              <w:rPr>
                <w:sz w:val="22"/>
              </w:rPr>
            </w:pPr>
          </w:p>
        </w:tc>
        <w:tc>
          <w:tcPr>
            <w:tcW w:w="4111" w:type="dxa"/>
            <w:shd w:val="clear" w:color="auto" w:fill="FFCC99"/>
          </w:tcPr>
          <w:p w14:paraId="7F7FC596" w14:textId="77777777" w:rsidR="00453B88" w:rsidRDefault="00453B88" w:rsidP="00781F6A">
            <w:pPr>
              <w:rPr>
                <w:sz w:val="22"/>
              </w:rPr>
            </w:pPr>
          </w:p>
        </w:tc>
      </w:tr>
      <w:tr w:rsidR="00874EAF" w14:paraId="589D5F99" w14:textId="77777777" w:rsidTr="00EA454C">
        <w:tblPrEx>
          <w:tblCellMar>
            <w:top w:w="0" w:type="dxa"/>
            <w:bottom w:w="0" w:type="dxa"/>
          </w:tblCellMar>
        </w:tblPrEx>
        <w:trPr>
          <w:trHeight w:val="70"/>
        </w:trPr>
        <w:tc>
          <w:tcPr>
            <w:tcW w:w="14709" w:type="dxa"/>
            <w:gridSpan w:val="6"/>
            <w:shd w:val="clear" w:color="auto" w:fill="auto"/>
            <w:vAlign w:val="center"/>
          </w:tcPr>
          <w:p w14:paraId="23D5B56A" w14:textId="77777777" w:rsidR="00874EAF" w:rsidRPr="00CD7794" w:rsidRDefault="00874EAF" w:rsidP="00B55E10">
            <w:pPr>
              <w:rPr>
                <w:sz w:val="18"/>
                <w:szCs w:val="18"/>
              </w:rPr>
            </w:pPr>
          </w:p>
        </w:tc>
      </w:tr>
      <w:tr w:rsidR="00163A6F" w14:paraId="6364E261" w14:textId="77777777" w:rsidTr="00EA454C">
        <w:tblPrEx>
          <w:tblCellMar>
            <w:top w:w="0" w:type="dxa"/>
            <w:bottom w:w="0" w:type="dxa"/>
          </w:tblCellMar>
        </w:tblPrEx>
        <w:tc>
          <w:tcPr>
            <w:tcW w:w="1809" w:type="dxa"/>
            <w:shd w:val="clear" w:color="auto" w:fill="CCFFFF"/>
          </w:tcPr>
          <w:p w14:paraId="28696459" w14:textId="77777777" w:rsidR="00163A6F" w:rsidRPr="0070176D" w:rsidRDefault="00163A6F" w:rsidP="00781F6A">
            <w:pPr>
              <w:rPr>
                <w:rFonts w:cs="Arial"/>
                <w:b/>
                <w:sz w:val="22"/>
                <w:szCs w:val="22"/>
              </w:rPr>
            </w:pPr>
            <w:r w:rsidRPr="0070176D">
              <w:rPr>
                <w:rFonts w:cs="Arial"/>
                <w:b/>
                <w:sz w:val="22"/>
                <w:szCs w:val="22"/>
              </w:rPr>
              <w:t>PREGNANCY &amp; MATERNITY</w:t>
            </w:r>
          </w:p>
        </w:tc>
        <w:tc>
          <w:tcPr>
            <w:tcW w:w="1560" w:type="dxa"/>
            <w:shd w:val="clear" w:color="auto" w:fill="CCFFFF"/>
            <w:vAlign w:val="center"/>
          </w:tcPr>
          <w:p w14:paraId="6E3B7628" w14:textId="77777777" w:rsidR="00163A6F" w:rsidRDefault="00163A6F" w:rsidP="00B55E10">
            <w:pPr>
              <w:rPr>
                <w:sz w:val="22"/>
              </w:rPr>
            </w:pPr>
            <w:r>
              <w:rPr>
                <w:sz w:val="22"/>
              </w:rPr>
              <w:t>Women</w:t>
            </w:r>
          </w:p>
        </w:tc>
        <w:tc>
          <w:tcPr>
            <w:tcW w:w="3827" w:type="dxa"/>
            <w:gridSpan w:val="2"/>
          </w:tcPr>
          <w:p w14:paraId="7A30D5D6" w14:textId="77777777" w:rsidR="00163A6F" w:rsidRDefault="001742F6" w:rsidP="00EA454C">
            <w:pPr>
              <w:rPr>
                <w:sz w:val="22"/>
              </w:rPr>
            </w:pPr>
            <w:r>
              <w:rPr>
                <w:sz w:val="22"/>
              </w:rPr>
              <w:t>This was not asked about in the consultation was not raised in any responses</w:t>
            </w:r>
            <w:r w:rsidR="00CF7B6F">
              <w:rPr>
                <w:sz w:val="22"/>
              </w:rPr>
              <w:t xml:space="preserve">. </w:t>
            </w:r>
          </w:p>
        </w:tc>
        <w:tc>
          <w:tcPr>
            <w:tcW w:w="3402" w:type="dxa"/>
          </w:tcPr>
          <w:p w14:paraId="3E8875F1" w14:textId="77777777" w:rsidR="00163A6F" w:rsidRDefault="00163A6F" w:rsidP="00781F6A">
            <w:pPr>
              <w:rPr>
                <w:sz w:val="22"/>
              </w:rPr>
            </w:pPr>
          </w:p>
        </w:tc>
        <w:tc>
          <w:tcPr>
            <w:tcW w:w="4111" w:type="dxa"/>
            <w:shd w:val="clear" w:color="auto" w:fill="FFCC99"/>
          </w:tcPr>
          <w:p w14:paraId="14217A7E" w14:textId="77777777" w:rsidR="00163A6F" w:rsidRDefault="00163A6F" w:rsidP="00781F6A">
            <w:pPr>
              <w:rPr>
                <w:sz w:val="22"/>
              </w:rPr>
            </w:pPr>
          </w:p>
        </w:tc>
      </w:tr>
      <w:tr w:rsidR="00163A6F" w:rsidRPr="00CD7794" w14:paraId="27A77B3C" w14:textId="77777777" w:rsidTr="00EA454C">
        <w:tblPrEx>
          <w:tblCellMar>
            <w:top w:w="0" w:type="dxa"/>
            <w:bottom w:w="0" w:type="dxa"/>
          </w:tblCellMar>
        </w:tblPrEx>
        <w:trPr>
          <w:trHeight w:val="70"/>
        </w:trPr>
        <w:tc>
          <w:tcPr>
            <w:tcW w:w="14709" w:type="dxa"/>
            <w:gridSpan w:val="6"/>
            <w:shd w:val="clear" w:color="auto" w:fill="auto"/>
            <w:vAlign w:val="center"/>
          </w:tcPr>
          <w:p w14:paraId="304D7C54" w14:textId="77777777" w:rsidR="00163A6F" w:rsidRPr="00CD7794" w:rsidRDefault="00163A6F" w:rsidP="00EA454C">
            <w:pPr>
              <w:rPr>
                <w:sz w:val="18"/>
                <w:szCs w:val="18"/>
              </w:rPr>
            </w:pPr>
          </w:p>
        </w:tc>
      </w:tr>
      <w:tr w:rsidR="00163A6F" w14:paraId="24A2542D" w14:textId="77777777" w:rsidTr="00EA454C">
        <w:tblPrEx>
          <w:tblCellMar>
            <w:top w:w="0" w:type="dxa"/>
            <w:bottom w:w="0" w:type="dxa"/>
          </w:tblCellMar>
        </w:tblPrEx>
        <w:tc>
          <w:tcPr>
            <w:tcW w:w="1809" w:type="dxa"/>
            <w:shd w:val="clear" w:color="auto" w:fill="CCFFFF"/>
          </w:tcPr>
          <w:p w14:paraId="5F2F62AB" w14:textId="77777777" w:rsidR="00163A6F" w:rsidRDefault="00163A6F" w:rsidP="00781F6A">
            <w:pPr>
              <w:rPr>
                <w:sz w:val="22"/>
              </w:rPr>
            </w:pPr>
            <w:r w:rsidRPr="00534BCA">
              <w:rPr>
                <w:b/>
                <w:sz w:val="22"/>
              </w:rPr>
              <w:t>RELIGION &amp; BELIEF</w:t>
            </w:r>
            <w:r>
              <w:rPr>
                <w:sz w:val="22"/>
              </w:rPr>
              <w:t>**</w:t>
            </w:r>
          </w:p>
          <w:p w14:paraId="37E92AF7" w14:textId="77777777" w:rsidR="00163A6F" w:rsidRPr="00CD7794" w:rsidRDefault="00163A6F" w:rsidP="00781F6A">
            <w:pPr>
              <w:rPr>
                <w:b/>
                <w:sz w:val="20"/>
              </w:rPr>
            </w:pPr>
            <w:r w:rsidRPr="00CD7794">
              <w:rPr>
                <w:sz w:val="20"/>
              </w:rPr>
              <w:t xml:space="preserve">A list of religions used in the census is available </w:t>
            </w:r>
            <w:hyperlink r:id="rId29" w:history="1">
              <w:r w:rsidRPr="00CD7794">
                <w:rPr>
                  <w:rStyle w:val="Hyperlink"/>
                  <w:sz w:val="20"/>
                </w:rPr>
                <w:t>here.</w:t>
              </w:r>
            </w:hyperlink>
          </w:p>
        </w:tc>
        <w:tc>
          <w:tcPr>
            <w:tcW w:w="1560" w:type="dxa"/>
            <w:shd w:val="clear" w:color="auto" w:fill="CCFFFF"/>
            <w:vAlign w:val="center"/>
          </w:tcPr>
          <w:p w14:paraId="07220E57" w14:textId="77777777" w:rsidR="00163A6F" w:rsidRDefault="00163A6F" w:rsidP="00B55E10">
            <w:pPr>
              <w:rPr>
                <w:sz w:val="22"/>
              </w:rPr>
            </w:pPr>
            <w:r>
              <w:rPr>
                <w:sz w:val="22"/>
              </w:rPr>
              <w:t>See note</w:t>
            </w:r>
          </w:p>
        </w:tc>
        <w:tc>
          <w:tcPr>
            <w:tcW w:w="3827" w:type="dxa"/>
            <w:gridSpan w:val="2"/>
          </w:tcPr>
          <w:p w14:paraId="408CD375" w14:textId="77777777" w:rsidR="00163A6F" w:rsidRDefault="001742F6" w:rsidP="00EA454C">
            <w:pPr>
              <w:rPr>
                <w:sz w:val="22"/>
              </w:rPr>
            </w:pPr>
            <w:r>
              <w:rPr>
                <w:sz w:val="22"/>
              </w:rPr>
              <w:t>This was not asked about in the consultation was not raised in any responses</w:t>
            </w:r>
            <w:r w:rsidR="00CF7B6F">
              <w:rPr>
                <w:sz w:val="22"/>
              </w:rPr>
              <w:t xml:space="preserve">. </w:t>
            </w:r>
          </w:p>
        </w:tc>
        <w:tc>
          <w:tcPr>
            <w:tcW w:w="3402" w:type="dxa"/>
          </w:tcPr>
          <w:p w14:paraId="7598FDA7" w14:textId="77777777" w:rsidR="00163A6F" w:rsidRDefault="00163A6F" w:rsidP="00781F6A">
            <w:pPr>
              <w:rPr>
                <w:sz w:val="22"/>
              </w:rPr>
            </w:pPr>
          </w:p>
        </w:tc>
        <w:tc>
          <w:tcPr>
            <w:tcW w:w="4111" w:type="dxa"/>
            <w:shd w:val="clear" w:color="auto" w:fill="FFCC99"/>
          </w:tcPr>
          <w:p w14:paraId="0947DAD2" w14:textId="77777777" w:rsidR="00163A6F" w:rsidRDefault="00163A6F" w:rsidP="00781F6A">
            <w:pPr>
              <w:rPr>
                <w:sz w:val="22"/>
              </w:rPr>
            </w:pPr>
          </w:p>
        </w:tc>
      </w:tr>
    </w:tbl>
    <w:p w14:paraId="02840A6F" w14:textId="77777777" w:rsidR="00163A6F" w:rsidRPr="00EA454C" w:rsidRDefault="00163A6F" w:rsidP="00711922">
      <w:pPr>
        <w:rPr>
          <w:sz w:val="10"/>
          <w:szCs w:val="10"/>
        </w:rPr>
      </w:pPr>
    </w:p>
    <w:p w14:paraId="6F70A4AA" w14:textId="77777777" w:rsidR="00AE6831" w:rsidRDefault="00781F6A" w:rsidP="002101EA">
      <w:pPr>
        <w:ind w:firstLine="360"/>
        <w:rPr>
          <w:sz w:val="18"/>
          <w:szCs w:val="18"/>
        </w:rPr>
      </w:pPr>
      <w:r>
        <w:rPr>
          <w:sz w:val="18"/>
          <w:szCs w:val="18"/>
        </w:rPr>
        <w:t xml:space="preserve">* </w:t>
      </w:r>
      <w:r w:rsidR="00AE6831">
        <w:rPr>
          <w:sz w:val="18"/>
          <w:szCs w:val="18"/>
        </w:rPr>
        <w:t>For reasons of brevity race is not an exhaustive list, and therefore please feel free to augment the list above where appropriate; to reflect the complexity of other racial identities.</w:t>
      </w:r>
    </w:p>
    <w:p w14:paraId="305642C2" w14:textId="77777777" w:rsidR="00163A6F" w:rsidRDefault="00AE6831" w:rsidP="002101EA">
      <w:pPr>
        <w:ind w:left="360"/>
        <w:rPr>
          <w:sz w:val="18"/>
          <w:szCs w:val="18"/>
        </w:rPr>
      </w:pPr>
      <w:r>
        <w:rPr>
          <w:sz w:val="18"/>
          <w:szCs w:val="18"/>
        </w:rPr>
        <w:t xml:space="preserve">** </w:t>
      </w:r>
      <w:r w:rsidRPr="00781F6A">
        <w:rPr>
          <w:sz w:val="18"/>
          <w:szCs w:val="18"/>
        </w:rPr>
        <w:t>There are too many faith groups to provide a list, therefore, please input the faith group e.g. Muslims, Buddhists, Jews, Christians, Hindus, etc.  Consider the different faith groups individually when consider</w:t>
      </w:r>
      <w:r w:rsidR="00405005">
        <w:rPr>
          <w:sz w:val="18"/>
          <w:szCs w:val="18"/>
        </w:rPr>
        <w:t>ing positive or negative impacts</w:t>
      </w:r>
      <w:r w:rsidR="0070176D">
        <w:rPr>
          <w:sz w:val="18"/>
          <w:szCs w:val="18"/>
        </w:rPr>
        <w:t xml:space="preserve">. </w:t>
      </w:r>
      <w:r w:rsidR="0070176D" w:rsidRPr="0070176D">
        <w:rPr>
          <w:sz w:val="18"/>
          <w:szCs w:val="18"/>
        </w:rPr>
        <w:t xml:space="preserve">A list of religions used in the census is available </w:t>
      </w:r>
      <w:hyperlink r:id="rId30" w:history="1">
        <w:r w:rsidR="0070176D" w:rsidRPr="0070176D">
          <w:rPr>
            <w:rStyle w:val="Hyperlink"/>
            <w:sz w:val="18"/>
            <w:szCs w:val="18"/>
          </w:rPr>
          <w:t>here.</w:t>
        </w:r>
      </w:hyperlink>
    </w:p>
    <w:p w14:paraId="1926B0CD" w14:textId="77777777" w:rsidR="00163A6F" w:rsidRPr="00711922" w:rsidRDefault="00711922" w:rsidP="00405005">
      <w:pPr>
        <w:ind w:left="360"/>
        <w:rPr>
          <w:sz w:val="32"/>
          <w:szCs w:val="32"/>
        </w:rPr>
      </w:pPr>
      <w:r>
        <w:rPr>
          <w:sz w:val="32"/>
          <w:szCs w:val="32"/>
        </w:rPr>
        <w:br w:type="page"/>
      </w:r>
      <w:r w:rsidRPr="00711922">
        <w:rPr>
          <w:sz w:val="32"/>
          <w:szCs w:val="32"/>
        </w:rPr>
        <w:t xml:space="preserve">Summary of </w:t>
      </w:r>
      <w:r w:rsidR="00981B6F">
        <w:rPr>
          <w:sz w:val="32"/>
          <w:szCs w:val="32"/>
        </w:rPr>
        <w:t>Protected Characteristics Most I</w:t>
      </w:r>
      <w:r w:rsidRPr="00711922">
        <w:rPr>
          <w:sz w:val="32"/>
          <w:szCs w:val="32"/>
        </w:rPr>
        <w:t>mpacted</w:t>
      </w:r>
    </w:p>
    <w:tbl>
      <w:tblPr>
        <w:tblpPr w:leftFromText="180" w:rightFromText="180" w:vertAnchor="text" w:horzAnchor="margin" w:tblpX="468" w:tblpY="151"/>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0"/>
      </w:tblGrid>
      <w:tr w:rsidR="00163A6F" w:rsidRPr="00CD7794" w14:paraId="555EC44D" w14:textId="77777777" w:rsidTr="00EA454C">
        <w:tblPrEx>
          <w:tblCellMar>
            <w:top w:w="0" w:type="dxa"/>
            <w:bottom w:w="0" w:type="dxa"/>
          </w:tblCellMar>
        </w:tblPrEx>
        <w:trPr>
          <w:trHeight w:val="70"/>
        </w:trPr>
        <w:tc>
          <w:tcPr>
            <w:tcW w:w="5000" w:type="pct"/>
            <w:shd w:val="clear" w:color="auto" w:fill="auto"/>
            <w:vAlign w:val="center"/>
          </w:tcPr>
          <w:p w14:paraId="7C596A42" w14:textId="77777777" w:rsidR="00163A6F" w:rsidRDefault="00163A6F" w:rsidP="005427A5">
            <w:pPr>
              <w:rPr>
                <w:sz w:val="18"/>
                <w:szCs w:val="18"/>
              </w:rPr>
            </w:pPr>
          </w:p>
          <w:p w14:paraId="0D4E5240" w14:textId="77777777" w:rsidR="00F0132D" w:rsidRPr="00ED5D31" w:rsidRDefault="00F0132D" w:rsidP="00F0132D">
            <w:pPr>
              <w:rPr>
                <w:sz w:val="22"/>
                <w:szCs w:val="22"/>
              </w:rPr>
            </w:pPr>
            <w:r w:rsidRPr="00ED5D31">
              <w:rPr>
                <w:sz w:val="22"/>
                <w:szCs w:val="22"/>
              </w:rPr>
              <w:t>All protected char</w:t>
            </w:r>
            <w:r>
              <w:rPr>
                <w:sz w:val="22"/>
                <w:szCs w:val="22"/>
              </w:rPr>
              <w:t>acteristics</w:t>
            </w:r>
            <w:r w:rsidR="00A92674">
              <w:rPr>
                <w:sz w:val="22"/>
                <w:szCs w:val="22"/>
              </w:rPr>
              <w:t xml:space="preserve"> would be impacted by </w:t>
            </w:r>
            <w:r w:rsidR="00CF7B6F">
              <w:rPr>
                <w:sz w:val="22"/>
                <w:szCs w:val="22"/>
              </w:rPr>
              <w:t xml:space="preserve">the SEV </w:t>
            </w:r>
            <w:r w:rsidR="00A92674">
              <w:rPr>
                <w:sz w:val="22"/>
                <w:szCs w:val="22"/>
              </w:rPr>
              <w:t>policy</w:t>
            </w:r>
            <w:r w:rsidR="00201E2A">
              <w:rPr>
                <w:sz w:val="22"/>
                <w:szCs w:val="22"/>
              </w:rPr>
              <w:t>.</w:t>
            </w:r>
            <w:r w:rsidR="00A92674">
              <w:rPr>
                <w:sz w:val="22"/>
                <w:szCs w:val="22"/>
              </w:rPr>
              <w:t xml:space="preserve"> </w:t>
            </w:r>
            <w:r>
              <w:rPr>
                <w:sz w:val="22"/>
                <w:szCs w:val="22"/>
              </w:rPr>
              <w:t xml:space="preserve">At present the </w:t>
            </w:r>
            <w:r w:rsidR="00BF303C">
              <w:rPr>
                <w:sz w:val="22"/>
                <w:szCs w:val="22"/>
              </w:rPr>
              <w:t xml:space="preserve">Committee </w:t>
            </w:r>
            <w:r>
              <w:rPr>
                <w:sz w:val="22"/>
                <w:szCs w:val="22"/>
              </w:rPr>
              <w:t xml:space="preserve">is aware from responses received </w:t>
            </w:r>
            <w:r w:rsidR="00CF7B6F">
              <w:rPr>
                <w:sz w:val="22"/>
                <w:szCs w:val="22"/>
              </w:rPr>
              <w:t xml:space="preserve">to the initial consultation </w:t>
            </w:r>
            <w:r>
              <w:rPr>
                <w:sz w:val="22"/>
                <w:szCs w:val="22"/>
              </w:rPr>
              <w:t xml:space="preserve">that the majority of individuals who work in SEVs are female and therefore women would be most likely to be impacted by </w:t>
            </w:r>
            <w:r w:rsidR="00CF7B6F">
              <w:rPr>
                <w:sz w:val="22"/>
                <w:szCs w:val="22"/>
              </w:rPr>
              <w:t xml:space="preserve">the SEV Policy, particularly the appropriate number of SEVs in each locality and whether grandfather rights are to be given to those SEVs currently in existence as at the date the Committee passed a resolution to licence SEVs (24 March 2021). </w:t>
            </w:r>
          </w:p>
          <w:p w14:paraId="396E3E74" w14:textId="77777777" w:rsidR="00711922" w:rsidRPr="00CD7794" w:rsidRDefault="00711922" w:rsidP="005427A5">
            <w:pPr>
              <w:rPr>
                <w:sz w:val="18"/>
                <w:szCs w:val="18"/>
              </w:rPr>
            </w:pPr>
          </w:p>
        </w:tc>
      </w:tr>
    </w:tbl>
    <w:p w14:paraId="2F9DA7D9" w14:textId="77777777" w:rsidR="00163A6F" w:rsidRDefault="00163A6F" w:rsidP="00405005">
      <w:pPr>
        <w:ind w:left="360"/>
        <w:rPr>
          <w:sz w:val="18"/>
          <w:szCs w:val="18"/>
        </w:rPr>
      </w:pPr>
    </w:p>
    <w:p w14:paraId="2D36D6F9" w14:textId="77777777" w:rsidR="00163A6F" w:rsidRPr="00711922" w:rsidRDefault="00711922" w:rsidP="00711922">
      <w:pPr>
        <w:ind w:left="360"/>
        <w:rPr>
          <w:sz w:val="32"/>
          <w:szCs w:val="32"/>
        </w:rPr>
      </w:pPr>
      <w:r w:rsidRPr="00711922">
        <w:rPr>
          <w:sz w:val="32"/>
          <w:szCs w:val="32"/>
        </w:rPr>
        <w:t xml:space="preserve">Summary of </w:t>
      </w:r>
      <w:r>
        <w:rPr>
          <w:sz w:val="32"/>
          <w:szCs w:val="32"/>
        </w:rPr>
        <w:t>Socio Economic Impacts</w:t>
      </w:r>
    </w:p>
    <w:tbl>
      <w:tblPr>
        <w:tblpPr w:leftFromText="180" w:rightFromText="180" w:vertAnchor="text" w:horzAnchor="margin" w:tblpX="468" w:tblpY="151"/>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0"/>
      </w:tblGrid>
      <w:tr w:rsidR="00163A6F" w:rsidRPr="00CD7794" w14:paraId="7F634501" w14:textId="77777777" w:rsidTr="00EA454C">
        <w:tblPrEx>
          <w:tblCellMar>
            <w:top w:w="0" w:type="dxa"/>
            <w:bottom w:w="0" w:type="dxa"/>
          </w:tblCellMar>
        </w:tblPrEx>
        <w:trPr>
          <w:trHeight w:val="70"/>
        </w:trPr>
        <w:tc>
          <w:tcPr>
            <w:tcW w:w="5000" w:type="pct"/>
            <w:shd w:val="clear" w:color="auto" w:fill="auto"/>
            <w:vAlign w:val="center"/>
          </w:tcPr>
          <w:p w14:paraId="2BE1E2FA" w14:textId="77777777" w:rsidR="00163A6F" w:rsidRDefault="00163A6F" w:rsidP="005427A5">
            <w:pPr>
              <w:rPr>
                <w:sz w:val="18"/>
                <w:szCs w:val="18"/>
              </w:rPr>
            </w:pPr>
          </w:p>
          <w:p w14:paraId="13CD6677" w14:textId="77777777" w:rsidR="00F0132D" w:rsidRPr="00ED5D31" w:rsidRDefault="00CF7B6F" w:rsidP="009024B9">
            <w:pPr>
              <w:jc w:val="both"/>
              <w:rPr>
                <w:sz w:val="22"/>
                <w:szCs w:val="22"/>
              </w:rPr>
            </w:pPr>
            <w:r>
              <w:rPr>
                <w:sz w:val="22"/>
                <w:szCs w:val="22"/>
              </w:rPr>
              <w:t>D</w:t>
            </w:r>
            <w:r w:rsidR="00F0132D">
              <w:rPr>
                <w:sz w:val="22"/>
                <w:szCs w:val="22"/>
              </w:rPr>
              <w:t>epending on what the appropriate number of SEVs for the locality</w:t>
            </w:r>
            <w:r w:rsidR="00CD1C9F">
              <w:rPr>
                <w:sz w:val="22"/>
                <w:szCs w:val="22"/>
              </w:rPr>
              <w:t xml:space="preserve">, </w:t>
            </w:r>
            <w:r w:rsidR="00F0132D">
              <w:rPr>
                <w:sz w:val="22"/>
                <w:szCs w:val="22"/>
              </w:rPr>
              <w:t xml:space="preserve">it could </w:t>
            </w:r>
            <w:r w:rsidR="00F0132D" w:rsidRPr="00ED5D31">
              <w:rPr>
                <w:sz w:val="22"/>
                <w:szCs w:val="22"/>
              </w:rPr>
              <w:t xml:space="preserve">potentially lead to </w:t>
            </w:r>
            <w:r w:rsidR="00F0132D">
              <w:rPr>
                <w:sz w:val="22"/>
                <w:szCs w:val="22"/>
              </w:rPr>
              <w:t xml:space="preserve">a loss of employment and income for individuals who work in SEVs. </w:t>
            </w:r>
            <w:r w:rsidR="00A92674">
              <w:rPr>
                <w:sz w:val="22"/>
                <w:szCs w:val="22"/>
              </w:rPr>
              <w:t xml:space="preserve">If </w:t>
            </w:r>
            <w:r>
              <w:rPr>
                <w:sz w:val="22"/>
                <w:szCs w:val="22"/>
              </w:rPr>
              <w:t xml:space="preserve">grandfather rights are </w:t>
            </w:r>
            <w:r w:rsidR="00261FC1">
              <w:rPr>
                <w:sz w:val="22"/>
                <w:szCs w:val="22"/>
              </w:rPr>
              <w:t>agreed</w:t>
            </w:r>
            <w:r>
              <w:rPr>
                <w:sz w:val="22"/>
                <w:szCs w:val="22"/>
              </w:rPr>
              <w:t xml:space="preserve"> then </w:t>
            </w:r>
            <w:r w:rsidR="00A92674">
              <w:rPr>
                <w:sz w:val="22"/>
                <w:szCs w:val="22"/>
              </w:rPr>
              <w:t xml:space="preserve">there would potentially be no loss of employment or income for individuals who work in SEVs. </w:t>
            </w:r>
          </w:p>
          <w:p w14:paraId="511DCD8C" w14:textId="77777777" w:rsidR="00711922" w:rsidRPr="00CD7794" w:rsidRDefault="00711922" w:rsidP="005427A5">
            <w:pPr>
              <w:rPr>
                <w:sz w:val="18"/>
                <w:szCs w:val="18"/>
              </w:rPr>
            </w:pPr>
          </w:p>
        </w:tc>
      </w:tr>
    </w:tbl>
    <w:p w14:paraId="1E5B2CB4" w14:textId="77777777" w:rsidR="00711922" w:rsidRDefault="00711922" w:rsidP="00711922">
      <w:pPr>
        <w:rPr>
          <w:sz w:val="18"/>
          <w:szCs w:val="18"/>
        </w:rPr>
      </w:pPr>
    </w:p>
    <w:p w14:paraId="26353FC7" w14:textId="7AB42AD6" w:rsidR="00711922" w:rsidRDefault="00711922" w:rsidP="00C42251">
      <w:pPr>
        <w:ind w:left="360"/>
        <w:rPr>
          <w:sz w:val="32"/>
          <w:szCs w:val="32"/>
        </w:rPr>
      </w:pPr>
      <w:r w:rsidRPr="00711922">
        <w:rPr>
          <w:sz w:val="32"/>
          <w:szCs w:val="32"/>
        </w:rPr>
        <w:t xml:space="preserve">Summary of </w:t>
      </w:r>
      <w:r>
        <w:rPr>
          <w:sz w:val="32"/>
          <w:szCs w:val="32"/>
        </w:rPr>
        <w:t>Human Rights Impacts</w:t>
      </w:r>
    </w:p>
    <w:tbl>
      <w:tblPr>
        <w:tblpPr w:leftFromText="180" w:rightFromText="180" w:vertAnchor="text" w:horzAnchor="margin" w:tblpX="468" w:tblpY="151"/>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0"/>
      </w:tblGrid>
      <w:tr w:rsidR="00711922" w:rsidRPr="00CD7794" w14:paraId="455D2407" w14:textId="77777777" w:rsidTr="00C42251">
        <w:tblPrEx>
          <w:tblCellMar>
            <w:top w:w="0" w:type="dxa"/>
            <w:bottom w:w="0" w:type="dxa"/>
          </w:tblCellMar>
        </w:tblPrEx>
        <w:trPr>
          <w:trHeight w:val="70"/>
        </w:trPr>
        <w:tc>
          <w:tcPr>
            <w:tcW w:w="5000" w:type="pct"/>
            <w:shd w:val="clear" w:color="auto" w:fill="auto"/>
            <w:vAlign w:val="center"/>
          </w:tcPr>
          <w:p w14:paraId="63DC8923" w14:textId="77777777" w:rsidR="00711922" w:rsidRDefault="00711922" w:rsidP="005427A5">
            <w:pPr>
              <w:rPr>
                <w:sz w:val="18"/>
                <w:szCs w:val="18"/>
              </w:rPr>
            </w:pPr>
          </w:p>
          <w:p w14:paraId="1E85E75F" w14:textId="77777777" w:rsidR="00F0132D" w:rsidRDefault="00F0132D" w:rsidP="005427A5">
            <w:pPr>
              <w:rPr>
                <w:sz w:val="22"/>
                <w:szCs w:val="22"/>
              </w:rPr>
            </w:pPr>
            <w:r>
              <w:rPr>
                <w:sz w:val="22"/>
                <w:szCs w:val="22"/>
              </w:rPr>
              <w:t>Potentially</w:t>
            </w:r>
            <w:r w:rsidR="00A92674">
              <w:rPr>
                <w:sz w:val="22"/>
                <w:szCs w:val="22"/>
              </w:rPr>
              <w:t xml:space="preserve">, </w:t>
            </w:r>
            <w:r w:rsidR="00EF0C3B">
              <w:rPr>
                <w:sz w:val="22"/>
                <w:szCs w:val="22"/>
              </w:rPr>
              <w:t xml:space="preserve">depending on the appropriate number, </w:t>
            </w:r>
            <w:r>
              <w:rPr>
                <w:sz w:val="22"/>
                <w:szCs w:val="22"/>
              </w:rPr>
              <w:t xml:space="preserve">the following Human Rights could be impacted </w:t>
            </w:r>
          </w:p>
          <w:p w14:paraId="1209F152" w14:textId="77777777" w:rsidR="00EF0C3B" w:rsidRDefault="00EF0C3B" w:rsidP="005427A5">
            <w:pPr>
              <w:rPr>
                <w:sz w:val="22"/>
                <w:szCs w:val="22"/>
              </w:rPr>
            </w:pPr>
          </w:p>
          <w:p w14:paraId="227B870C" w14:textId="77777777" w:rsidR="00EF0C3B" w:rsidRDefault="00EF0C3B" w:rsidP="00EF0C3B">
            <w:pPr>
              <w:rPr>
                <w:sz w:val="18"/>
                <w:szCs w:val="18"/>
              </w:rPr>
            </w:pPr>
            <w:r>
              <w:rPr>
                <w:sz w:val="22"/>
                <w:szCs w:val="22"/>
              </w:rPr>
              <w:t>Protocol 1 Article 1 (Right to Property), Article 3</w:t>
            </w:r>
            <w:r>
              <w:rPr>
                <w:sz w:val="22"/>
              </w:rPr>
              <w:t xml:space="preserve"> could be impacted (Right to be free of inhumane and degrading treatment)</w:t>
            </w:r>
          </w:p>
          <w:p w14:paraId="77F889EF" w14:textId="77777777" w:rsidR="00EF0C3B" w:rsidRDefault="00EF0C3B" w:rsidP="00EF0C3B">
            <w:pPr>
              <w:rPr>
                <w:sz w:val="22"/>
                <w:szCs w:val="22"/>
              </w:rPr>
            </w:pPr>
            <w:r>
              <w:rPr>
                <w:sz w:val="22"/>
                <w:szCs w:val="22"/>
              </w:rPr>
              <w:t xml:space="preserve">and Article 10 (Freedom of Expression). </w:t>
            </w:r>
          </w:p>
          <w:p w14:paraId="49AB22A6" w14:textId="77777777" w:rsidR="00711922" w:rsidRPr="00CD7794" w:rsidRDefault="00711922" w:rsidP="005427A5">
            <w:pPr>
              <w:rPr>
                <w:sz w:val="18"/>
                <w:szCs w:val="18"/>
              </w:rPr>
            </w:pPr>
          </w:p>
        </w:tc>
      </w:tr>
    </w:tbl>
    <w:p w14:paraId="213C05B3" w14:textId="77777777" w:rsidR="00711922" w:rsidRDefault="00711922" w:rsidP="00711922">
      <w:pPr>
        <w:ind w:left="360"/>
        <w:rPr>
          <w:sz w:val="32"/>
          <w:szCs w:val="32"/>
        </w:rPr>
      </w:pPr>
    </w:p>
    <w:p w14:paraId="5004420E" w14:textId="77777777" w:rsidR="00711922" w:rsidRDefault="00711922" w:rsidP="00C42251">
      <w:pPr>
        <w:rPr>
          <w:sz w:val="18"/>
          <w:szCs w:val="18"/>
        </w:rPr>
      </w:pPr>
    </w:p>
    <w:p w14:paraId="4E66EA87" w14:textId="77777777" w:rsidR="00711922" w:rsidRPr="00781F6A" w:rsidRDefault="00711922" w:rsidP="00405005">
      <w:pPr>
        <w:ind w:left="360"/>
        <w:rPr>
          <w:sz w:val="18"/>
          <w:szCs w:val="18"/>
        </w:rPr>
        <w:sectPr w:rsidR="00711922" w:rsidRPr="00781F6A" w:rsidSect="002101EA">
          <w:pgSz w:w="16838" w:h="11906" w:orient="landscape" w:code="9"/>
          <w:pgMar w:top="851" w:right="426" w:bottom="851" w:left="851" w:header="720" w:footer="340" w:gutter="0"/>
          <w:cols w:space="720"/>
          <w:docGrid w:linePitch="326"/>
        </w:sectPr>
      </w:pPr>
    </w:p>
    <w:p w14:paraId="5D4015E8" w14:textId="77777777" w:rsidR="00CE1909" w:rsidRPr="00B04CFA" w:rsidRDefault="007073B2" w:rsidP="005272A9">
      <w:pPr>
        <w:pStyle w:val="Heading1"/>
        <w:numPr>
          <w:ilvl w:val="0"/>
          <w:numId w:val="8"/>
        </w:numPr>
        <w:rPr>
          <w:sz w:val="36"/>
          <w:szCs w:val="36"/>
        </w:rPr>
      </w:pPr>
      <w:r w:rsidRPr="00B04CFA">
        <w:rPr>
          <w:sz w:val="36"/>
          <w:szCs w:val="36"/>
        </w:rPr>
        <w:t xml:space="preserve">OUTCOMES, </w:t>
      </w:r>
      <w:r w:rsidR="00CE1909" w:rsidRPr="00B04CFA">
        <w:rPr>
          <w:sz w:val="36"/>
          <w:szCs w:val="36"/>
        </w:rPr>
        <w:t>ACTION</w:t>
      </w:r>
      <w:r w:rsidRPr="00B04CFA">
        <w:rPr>
          <w:sz w:val="36"/>
          <w:szCs w:val="36"/>
        </w:rPr>
        <w:t xml:space="preserve"> &amp; PUBLIC REPORTING</w:t>
      </w:r>
    </w:p>
    <w:p w14:paraId="4115FDBE" w14:textId="77777777" w:rsidR="00460F93" w:rsidRDefault="00460F93" w:rsidP="00460F93">
      <w:pPr>
        <w:rPr>
          <w:sz w:val="22"/>
        </w:rPr>
      </w:pPr>
    </w:p>
    <w:tbl>
      <w:tblPr>
        <w:tblW w:w="14334"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gridCol w:w="4820"/>
      </w:tblGrid>
      <w:tr w:rsidR="00460F93" w:rsidRPr="00C42251" w14:paraId="1839AE74" w14:textId="77777777" w:rsidTr="008C28A4">
        <w:tblPrEx>
          <w:tblCellMar>
            <w:top w:w="0" w:type="dxa"/>
            <w:bottom w:w="0" w:type="dxa"/>
          </w:tblCellMar>
        </w:tblPrEx>
        <w:tc>
          <w:tcPr>
            <w:tcW w:w="9514" w:type="dxa"/>
            <w:tcBorders>
              <w:bottom w:val="single" w:sz="4" w:space="0" w:color="auto"/>
            </w:tcBorders>
            <w:shd w:val="clear" w:color="auto" w:fill="D9D9D9"/>
          </w:tcPr>
          <w:p w14:paraId="31F0FB69" w14:textId="77777777" w:rsidR="00460F93" w:rsidRPr="00C42251" w:rsidRDefault="00460F93" w:rsidP="002101EA">
            <w:pPr>
              <w:jc w:val="center"/>
              <w:rPr>
                <w:b/>
                <w:sz w:val="30"/>
                <w:szCs w:val="30"/>
              </w:rPr>
            </w:pPr>
            <w:r w:rsidRPr="00C42251">
              <w:rPr>
                <w:b/>
                <w:sz w:val="30"/>
                <w:szCs w:val="30"/>
              </w:rPr>
              <w:t>Screening Outcome</w:t>
            </w:r>
          </w:p>
        </w:tc>
        <w:tc>
          <w:tcPr>
            <w:tcW w:w="4820" w:type="dxa"/>
            <w:shd w:val="clear" w:color="auto" w:fill="D9D9D9"/>
          </w:tcPr>
          <w:p w14:paraId="15092250" w14:textId="77777777" w:rsidR="00460F93" w:rsidRPr="00C42251" w:rsidRDefault="00460F93" w:rsidP="005427A5">
            <w:pPr>
              <w:rPr>
                <w:b/>
                <w:sz w:val="30"/>
                <w:szCs w:val="30"/>
              </w:rPr>
            </w:pPr>
            <w:r w:rsidRPr="00C42251">
              <w:rPr>
                <w:b/>
                <w:sz w:val="30"/>
                <w:szCs w:val="30"/>
              </w:rPr>
              <w:t xml:space="preserve">Yes /No </w:t>
            </w:r>
          </w:p>
          <w:p w14:paraId="1A7603F2" w14:textId="77777777" w:rsidR="00CE4FCB" w:rsidRPr="00C42251" w:rsidRDefault="00460F93" w:rsidP="005427A5">
            <w:pPr>
              <w:rPr>
                <w:b/>
                <w:sz w:val="30"/>
                <w:szCs w:val="30"/>
              </w:rPr>
            </w:pPr>
            <w:r w:rsidRPr="00C42251">
              <w:rPr>
                <w:b/>
                <w:sz w:val="30"/>
                <w:szCs w:val="30"/>
              </w:rPr>
              <w:t>Or /</w:t>
            </w:r>
          </w:p>
          <w:p w14:paraId="690C4ED8" w14:textId="3BDEA6E2" w:rsidR="00460F93" w:rsidRPr="00C42251" w:rsidRDefault="00460F93" w:rsidP="005427A5">
            <w:pPr>
              <w:rPr>
                <w:b/>
                <w:sz w:val="30"/>
                <w:szCs w:val="30"/>
              </w:rPr>
            </w:pPr>
            <w:r w:rsidRPr="00C42251">
              <w:rPr>
                <w:b/>
                <w:sz w:val="30"/>
                <w:szCs w:val="30"/>
              </w:rPr>
              <w:t>Not At This Stage</w:t>
            </w:r>
          </w:p>
        </w:tc>
      </w:tr>
      <w:tr w:rsidR="00460F93" w14:paraId="3E99B1A3" w14:textId="77777777" w:rsidTr="008C28A4">
        <w:tblPrEx>
          <w:tblCellMar>
            <w:top w:w="0" w:type="dxa"/>
            <w:bottom w:w="0" w:type="dxa"/>
          </w:tblCellMar>
        </w:tblPrEx>
        <w:tc>
          <w:tcPr>
            <w:tcW w:w="9514" w:type="dxa"/>
            <w:shd w:val="clear" w:color="auto" w:fill="CCFFFF"/>
          </w:tcPr>
          <w:p w14:paraId="77E666E3" w14:textId="77777777" w:rsidR="00B04CFA" w:rsidRPr="002101EA" w:rsidRDefault="00B04CFA" w:rsidP="005427A5">
            <w:pPr>
              <w:rPr>
                <w:b/>
                <w:sz w:val="22"/>
                <w:szCs w:val="22"/>
              </w:rPr>
            </w:pPr>
          </w:p>
          <w:p w14:paraId="5D060EFF" w14:textId="77777777" w:rsidR="00460F93" w:rsidRPr="002101EA" w:rsidRDefault="00460F93" w:rsidP="005427A5">
            <w:pPr>
              <w:rPr>
                <w:b/>
                <w:sz w:val="22"/>
                <w:szCs w:val="22"/>
              </w:rPr>
            </w:pPr>
            <w:r w:rsidRPr="002101EA">
              <w:rPr>
                <w:b/>
                <w:sz w:val="22"/>
                <w:szCs w:val="22"/>
              </w:rPr>
              <w:t>Was a significant level of negative impact arising from the project, policy or strategy identified?</w:t>
            </w:r>
          </w:p>
          <w:p w14:paraId="07C3AACA" w14:textId="77777777" w:rsidR="00460F93" w:rsidRPr="002101EA" w:rsidRDefault="00460F93" w:rsidP="005427A5">
            <w:pPr>
              <w:rPr>
                <w:b/>
                <w:sz w:val="22"/>
                <w:szCs w:val="22"/>
              </w:rPr>
            </w:pPr>
          </w:p>
        </w:tc>
        <w:tc>
          <w:tcPr>
            <w:tcW w:w="4820" w:type="dxa"/>
          </w:tcPr>
          <w:p w14:paraId="787BC0A0" w14:textId="77777777" w:rsidR="00460F93" w:rsidRPr="002101EA" w:rsidRDefault="00F0132D" w:rsidP="00C42251">
            <w:pPr>
              <w:rPr>
                <w:sz w:val="22"/>
                <w:szCs w:val="22"/>
              </w:rPr>
            </w:pPr>
            <w:r>
              <w:rPr>
                <w:sz w:val="22"/>
                <w:szCs w:val="22"/>
              </w:rPr>
              <w:t>Not at this stage</w:t>
            </w:r>
          </w:p>
        </w:tc>
      </w:tr>
      <w:tr w:rsidR="00460F93" w14:paraId="2461C9AB" w14:textId="77777777" w:rsidTr="008C28A4">
        <w:tblPrEx>
          <w:tblCellMar>
            <w:top w:w="0" w:type="dxa"/>
            <w:bottom w:w="0" w:type="dxa"/>
          </w:tblCellMar>
        </w:tblPrEx>
        <w:tc>
          <w:tcPr>
            <w:tcW w:w="9514" w:type="dxa"/>
            <w:tcBorders>
              <w:bottom w:val="single" w:sz="4" w:space="0" w:color="auto"/>
            </w:tcBorders>
            <w:shd w:val="clear" w:color="auto" w:fill="CCFFFF"/>
          </w:tcPr>
          <w:p w14:paraId="2BDEC162" w14:textId="77777777" w:rsidR="00B04CFA" w:rsidRPr="002101EA" w:rsidRDefault="00B04CFA" w:rsidP="005427A5">
            <w:pPr>
              <w:rPr>
                <w:b/>
                <w:sz w:val="22"/>
                <w:szCs w:val="22"/>
              </w:rPr>
            </w:pPr>
          </w:p>
          <w:p w14:paraId="1BAD919D" w14:textId="77777777" w:rsidR="00460F93" w:rsidRPr="002101EA" w:rsidRDefault="00460F93" w:rsidP="005427A5">
            <w:pPr>
              <w:rPr>
                <w:b/>
                <w:sz w:val="22"/>
                <w:szCs w:val="22"/>
              </w:rPr>
            </w:pPr>
            <w:r w:rsidRPr="002101EA">
              <w:rPr>
                <w:b/>
                <w:sz w:val="22"/>
                <w:szCs w:val="22"/>
              </w:rPr>
              <w:t>Does the project, policy or strategy require to be amended to have a positive impact?</w:t>
            </w:r>
          </w:p>
          <w:p w14:paraId="70DDAB83" w14:textId="77777777" w:rsidR="00460F93" w:rsidRPr="002101EA" w:rsidRDefault="00460F93" w:rsidP="005427A5">
            <w:pPr>
              <w:rPr>
                <w:b/>
                <w:sz w:val="22"/>
                <w:szCs w:val="22"/>
              </w:rPr>
            </w:pPr>
          </w:p>
        </w:tc>
        <w:tc>
          <w:tcPr>
            <w:tcW w:w="4820" w:type="dxa"/>
            <w:tcBorders>
              <w:bottom w:val="single" w:sz="4" w:space="0" w:color="auto"/>
            </w:tcBorders>
          </w:tcPr>
          <w:p w14:paraId="0309A73F" w14:textId="77777777" w:rsidR="00460F93" w:rsidRPr="002101EA" w:rsidRDefault="00F0132D" w:rsidP="00C42251">
            <w:pPr>
              <w:rPr>
                <w:sz w:val="22"/>
                <w:szCs w:val="22"/>
              </w:rPr>
            </w:pPr>
            <w:r>
              <w:rPr>
                <w:sz w:val="22"/>
                <w:szCs w:val="22"/>
              </w:rPr>
              <w:t>Not at this stage</w:t>
            </w:r>
          </w:p>
        </w:tc>
      </w:tr>
      <w:tr w:rsidR="00460F93" w14:paraId="226EC929" w14:textId="77777777" w:rsidTr="008C28A4">
        <w:tblPrEx>
          <w:tblCellMar>
            <w:top w:w="0" w:type="dxa"/>
            <w:bottom w:w="0" w:type="dxa"/>
          </w:tblCellMar>
        </w:tblPrEx>
        <w:tc>
          <w:tcPr>
            <w:tcW w:w="9514" w:type="dxa"/>
            <w:tcBorders>
              <w:bottom w:val="single" w:sz="4" w:space="0" w:color="auto"/>
            </w:tcBorders>
            <w:shd w:val="clear" w:color="auto" w:fill="CCFFFF"/>
          </w:tcPr>
          <w:p w14:paraId="56827E49" w14:textId="77777777" w:rsidR="00B04CFA" w:rsidRPr="002101EA" w:rsidRDefault="00B04CFA" w:rsidP="005427A5">
            <w:pPr>
              <w:rPr>
                <w:b/>
                <w:sz w:val="22"/>
                <w:szCs w:val="22"/>
              </w:rPr>
            </w:pPr>
          </w:p>
          <w:p w14:paraId="6733AD34" w14:textId="77777777" w:rsidR="00460F93" w:rsidRPr="002101EA" w:rsidRDefault="00460F93" w:rsidP="005427A5">
            <w:pPr>
              <w:rPr>
                <w:b/>
                <w:sz w:val="22"/>
                <w:szCs w:val="22"/>
              </w:rPr>
            </w:pPr>
            <w:r w:rsidRPr="002101EA">
              <w:rPr>
                <w:b/>
                <w:sz w:val="22"/>
                <w:szCs w:val="22"/>
              </w:rPr>
              <w:t>Does a Full Impact Assessment need to be undertaken?</w:t>
            </w:r>
          </w:p>
          <w:p w14:paraId="648F8B76" w14:textId="77777777" w:rsidR="00460F93" w:rsidRPr="002101EA" w:rsidRDefault="00460F93" w:rsidP="005427A5">
            <w:pPr>
              <w:rPr>
                <w:b/>
                <w:sz w:val="22"/>
                <w:szCs w:val="22"/>
              </w:rPr>
            </w:pPr>
          </w:p>
        </w:tc>
        <w:tc>
          <w:tcPr>
            <w:tcW w:w="4820" w:type="dxa"/>
            <w:tcBorders>
              <w:bottom w:val="single" w:sz="4" w:space="0" w:color="auto"/>
            </w:tcBorders>
          </w:tcPr>
          <w:p w14:paraId="71E612DE" w14:textId="77777777" w:rsidR="00460F93" w:rsidRPr="002101EA" w:rsidRDefault="001742F6" w:rsidP="00C42251">
            <w:pPr>
              <w:rPr>
                <w:sz w:val="22"/>
                <w:szCs w:val="22"/>
              </w:rPr>
            </w:pPr>
            <w:r>
              <w:rPr>
                <w:sz w:val="22"/>
                <w:szCs w:val="22"/>
              </w:rPr>
              <w:t xml:space="preserve">A detailed impact assessment has been completed. </w:t>
            </w:r>
          </w:p>
        </w:tc>
      </w:tr>
    </w:tbl>
    <w:p w14:paraId="15D144D6" w14:textId="7897072A" w:rsidR="00FE21D3" w:rsidRDefault="00FE21D3" w:rsidP="00C42251">
      <w:pPr>
        <w:tabs>
          <w:tab w:val="left" w:pos="3816"/>
        </w:tabs>
        <w:ind w:firstLine="360"/>
        <w:rPr>
          <w:sz w:val="18"/>
          <w:szCs w:val="18"/>
        </w:rPr>
      </w:pPr>
    </w:p>
    <w:tbl>
      <w:tblPr>
        <w:tblW w:w="14334"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3"/>
        <w:gridCol w:w="2977"/>
        <w:gridCol w:w="6804"/>
      </w:tblGrid>
      <w:tr w:rsidR="00460F93" w:rsidRPr="00ED47F5" w14:paraId="40C2DA26" w14:textId="77777777" w:rsidTr="008C28A4">
        <w:tblPrEx>
          <w:tblCellMar>
            <w:top w:w="0" w:type="dxa"/>
            <w:bottom w:w="0" w:type="dxa"/>
          </w:tblCellMar>
        </w:tblPrEx>
        <w:tc>
          <w:tcPr>
            <w:tcW w:w="14334" w:type="dxa"/>
            <w:gridSpan w:val="3"/>
            <w:tcBorders>
              <w:top w:val="single" w:sz="4" w:space="0" w:color="auto"/>
              <w:left w:val="single" w:sz="4" w:space="0" w:color="auto"/>
              <w:bottom w:val="single" w:sz="4" w:space="0" w:color="auto"/>
              <w:right w:val="single" w:sz="4" w:space="0" w:color="auto"/>
            </w:tcBorders>
            <w:shd w:val="clear" w:color="auto" w:fill="D9D9D9"/>
          </w:tcPr>
          <w:p w14:paraId="184A874F" w14:textId="77777777" w:rsidR="00460F93" w:rsidRPr="00C42251" w:rsidRDefault="00460F93" w:rsidP="005427A5">
            <w:pPr>
              <w:rPr>
                <w:b/>
                <w:sz w:val="8"/>
                <w:szCs w:val="8"/>
              </w:rPr>
            </w:pPr>
          </w:p>
          <w:p w14:paraId="7E3592B3" w14:textId="77777777" w:rsidR="00460F93" w:rsidRPr="002101EA" w:rsidRDefault="00B04CFA" w:rsidP="002101EA">
            <w:pPr>
              <w:jc w:val="center"/>
              <w:rPr>
                <w:sz w:val="36"/>
                <w:szCs w:val="36"/>
              </w:rPr>
            </w:pPr>
            <w:r w:rsidRPr="002101EA">
              <w:rPr>
                <w:b/>
                <w:sz w:val="36"/>
                <w:szCs w:val="36"/>
              </w:rPr>
              <w:t xml:space="preserve">Actions: </w:t>
            </w:r>
            <w:r w:rsidR="00460F93" w:rsidRPr="002101EA">
              <w:rPr>
                <w:b/>
                <w:sz w:val="36"/>
                <w:szCs w:val="36"/>
              </w:rPr>
              <w:t>Next Steps</w:t>
            </w:r>
          </w:p>
          <w:p w14:paraId="6849D549" w14:textId="77777777" w:rsidR="00460F93" w:rsidRPr="00460F93" w:rsidRDefault="00460F93" w:rsidP="002101EA">
            <w:pPr>
              <w:jc w:val="center"/>
              <w:rPr>
                <w:sz w:val="16"/>
                <w:szCs w:val="16"/>
              </w:rPr>
            </w:pPr>
          </w:p>
          <w:p w14:paraId="73883FE3" w14:textId="77777777" w:rsidR="00460F93" w:rsidRDefault="00460F93" w:rsidP="002101EA">
            <w:pPr>
              <w:jc w:val="center"/>
              <w:rPr>
                <w:sz w:val="18"/>
                <w:szCs w:val="18"/>
              </w:rPr>
            </w:pPr>
            <w:r w:rsidRPr="00ED47F5">
              <w:rPr>
                <w:sz w:val="18"/>
                <w:szCs w:val="18"/>
              </w:rPr>
              <w:t xml:space="preserve">(i.e. is there a strategic group that can monitor </w:t>
            </w:r>
            <w:r>
              <w:rPr>
                <w:sz w:val="18"/>
                <w:szCs w:val="18"/>
              </w:rPr>
              <w:t>any future</w:t>
            </w:r>
            <w:r w:rsidR="00B04CFA">
              <w:rPr>
                <w:sz w:val="18"/>
                <w:szCs w:val="18"/>
              </w:rPr>
              <w:t xml:space="preserve"> actions)</w:t>
            </w:r>
          </w:p>
          <w:p w14:paraId="4D07D6A8" w14:textId="77777777" w:rsidR="00460F93" w:rsidRPr="00460F93" w:rsidRDefault="00460F93" w:rsidP="00460F93">
            <w:pPr>
              <w:ind w:firstLine="360"/>
              <w:rPr>
                <w:sz w:val="18"/>
                <w:szCs w:val="18"/>
              </w:rPr>
            </w:pPr>
          </w:p>
        </w:tc>
      </w:tr>
      <w:tr w:rsidR="00460F93" w14:paraId="17C47533" w14:textId="77777777" w:rsidTr="008C28A4">
        <w:tblPrEx>
          <w:tblCellMar>
            <w:top w:w="0" w:type="dxa"/>
            <w:bottom w:w="0" w:type="dxa"/>
          </w:tblCellMar>
        </w:tblPrEx>
        <w:tc>
          <w:tcPr>
            <w:tcW w:w="4553" w:type="dxa"/>
            <w:tcBorders>
              <w:bottom w:val="single" w:sz="4" w:space="0" w:color="auto"/>
            </w:tcBorders>
            <w:shd w:val="clear" w:color="auto" w:fill="D9D9D9"/>
          </w:tcPr>
          <w:p w14:paraId="0D983BEA" w14:textId="77777777" w:rsidR="00460F93" w:rsidRDefault="00460F93" w:rsidP="0021793B">
            <w:pPr>
              <w:rPr>
                <w:b/>
                <w:sz w:val="22"/>
              </w:rPr>
            </w:pPr>
            <w:r>
              <w:rPr>
                <w:b/>
                <w:sz w:val="22"/>
              </w:rPr>
              <w:t xml:space="preserve">Further </w:t>
            </w:r>
            <w:r w:rsidRPr="00ED47F5">
              <w:rPr>
                <w:b/>
                <w:sz w:val="22"/>
              </w:rPr>
              <w:t>Action Required</w:t>
            </w:r>
            <w:r>
              <w:rPr>
                <w:b/>
                <w:sz w:val="22"/>
              </w:rPr>
              <w:t>/ Action To Be Undertaken</w:t>
            </w:r>
          </w:p>
          <w:p w14:paraId="243F458B" w14:textId="77777777" w:rsidR="00460F93" w:rsidRPr="00ED47F5" w:rsidRDefault="00460F93" w:rsidP="0021793B">
            <w:pPr>
              <w:rPr>
                <w:b/>
                <w:sz w:val="22"/>
              </w:rPr>
            </w:pPr>
          </w:p>
        </w:tc>
        <w:tc>
          <w:tcPr>
            <w:tcW w:w="2977" w:type="dxa"/>
            <w:tcBorders>
              <w:bottom w:val="single" w:sz="4" w:space="0" w:color="auto"/>
            </w:tcBorders>
            <w:shd w:val="clear" w:color="auto" w:fill="D9D9D9"/>
          </w:tcPr>
          <w:p w14:paraId="1A4434E3" w14:textId="77777777" w:rsidR="00460F93" w:rsidRDefault="00460F93" w:rsidP="00797EAC">
            <w:pPr>
              <w:rPr>
                <w:b/>
                <w:sz w:val="22"/>
              </w:rPr>
            </w:pPr>
            <w:r w:rsidRPr="00ED47F5">
              <w:rPr>
                <w:b/>
                <w:sz w:val="22"/>
              </w:rPr>
              <w:t>Lead Officer</w:t>
            </w:r>
            <w:r>
              <w:rPr>
                <w:b/>
                <w:sz w:val="22"/>
              </w:rPr>
              <w:t xml:space="preserve"> and/or</w:t>
            </w:r>
          </w:p>
          <w:p w14:paraId="45AD9DE4" w14:textId="77777777" w:rsidR="00460F93" w:rsidRPr="00ED47F5" w:rsidRDefault="00460F93" w:rsidP="00797EAC">
            <w:pPr>
              <w:rPr>
                <w:b/>
                <w:sz w:val="22"/>
              </w:rPr>
            </w:pPr>
            <w:r>
              <w:rPr>
                <w:b/>
                <w:sz w:val="22"/>
              </w:rPr>
              <w:t>Lead Strategic Group</w:t>
            </w:r>
          </w:p>
        </w:tc>
        <w:tc>
          <w:tcPr>
            <w:tcW w:w="6804" w:type="dxa"/>
            <w:tcBorders>
              <w:bottom w:val="single" w:sz="4" w:space="0" w:color="auto"/>
            </w:tcBorders>
            <w:shd w:val="clear" w:color="auto" w:fill="D9D9D9"/>
          </w:tcPr>
          <w:p w14:paraId="783AAB40" w14:textId="77777777" w:rsidR="00460F93" w:rsidRPr="00ED47F5" w:rsidRDefault="00460F93" w:rsidP="0021793B">
            <w:pPr>
              <w:rPr>
                <w:b/>
                <w:sz w:val="22"/>
              </w:rPr>
            </w:pPr>
            <w:r>
              <w:rPr>
                <w:b/>
                <w:sz w:val="22"/>
              </w:rPr>
              <w:t>Timescale for Resolution of Negative Impact</w:t>
            </w:r>
            <w:r w:rsidR="00724573">
              <w:rPr>
                <w:b/>
                <w:sz w:val="22"/>
              </w:rPr>
              <w:t xml:space="preserve"> (s) </w:t>
            </w:r>
            <w:r>
              <w:rPr>
                <w:b/>
                <w:sz w:val="22"/>
              </w:rPr>
              <w:t>/ Delivery of Positive Impact</w:t>
            </w:r>
            <w:r w:rsidR="00724573">
              <w:rPr>
                <w:b/>
                <w:sz w:val="22"/>
              </w:rPr>
              <w:t xml:space="preserve"> (s)</w:t>
            </w:r>
          </w:p>
          <w:p w14:paraId="7DC8B493" w14:textId="77777777" w:rsidR="00460F93" w:rsidRPr="00ED47F5" w:rsidRDefault="00460F93" w:rsidP="0021793B">
            <w:pPr>
              <w:rPr>
                <w:b/>
                <w:sz w:val="22"/>
              </w:rPr>
            </w:pPr>
          </w:p>
        </w:tc>
      </w:tr>
      <w:tr w:rsidR="00460F93" w14:paraId="7EDF1BE2" w14:textId="77777777" w:rsidTr="008C28A4">
        <w:tblPrEx>
          <w:tblCellMar>
            <w:top w:w="0" w:type="dxa"/>
            <w:bottom w:w="0" w:type="dxa"/>
          </w:tblCellMar>
        </w:tblPrEx>
        <w:trPr>
          <w:trHeight w:val="884"/>
        </w:trPr>
        <w:tc>
          <w:tcPr>
            <w:tcW w:w="4553" w:type="dxa"/>
            <w:shd w:val="clear" w:color="auto" w:fill="auto"/>
          </w:tcPr>
          <w:p w14:paraId="10F95CA3" w14:textId="58153EB1" w:rsidR="00DB4A5A" w:rsidRDefault="00CD1C9F" w:rsidP="00C42251">
            <w:pPr>
              <w:rPr>
                <w:sz w:val="22"/>
              </w:rPr>
            </w:pPr>
            <w:r>
              <w:rPr>
                <w:sz w:val="22"/>
              </w:rPr>
              <w:t xml:space="preserve">If the SEV Policy is agreed, the EQIA could be reviewed within 12 months of licences being granted, if any are granted, to assess how the policy is being applied in practice.  </w:t>
            </w:r>
          </w:p>
        </w:tc>
        <w:tc>
          <w:tcPr>
            <w:tcW w:w="2977" w:type="dxa"/>
            <w:shd w:val="clear" w:color="auto" w:fill="auto"/>
          </w:tcPr>
          <w:p w14:paraId="4963A352" w14:textId="77777777" w:rsidR="00460F93" w:rsidRDefault="00F0132D" w:rsidP="00797EAC">
            <w:pPr>
              <w:rPr>
                <w:sz w:val="22"/>
              </w:rPr>
            </w:pPr>
            <w:r>
              <w:rPr>
                <w:sz w:val="22"/>
              </w:rPr>
              <w:t>Gillian McNaught</w:t>
            </w:r>
          </w:p>
        </w:tc>
        <w:tc>
          <w:tcPr>
            <w:tcW w:w="6804" w:type="dxa"/>
            <w:shd w:val="clear" w:color="auto" w:fill="auto"/>
          </w:tcPr>
          <w:p w14:paraId="74B1AF0C" w14:textId="6D91BC87" w:rsidR="00FB749C" w:rsidRDefault="00CD1C9F" w:rsidP="0021793B">
            <w:pPr>
              <w:rPr>
                <w:sz w:val="22"/>
              </w:rPr>
            </w:pPr>
            <w:r>
              <w:rPr>
                <w:sz w:val="22"/>
              </w:rPr>
              <w:t>August/September 2023.</w:t>
            </w:r>
          </w:p>
          <w:p w14:paraId="5F9554B2" w14:textId="77777777" w:rsidR="00FB749C" w:rsidRPr="00FB749C" w:rsidRDefault="001742F6" w:rsidP="001742F6">
            <w:pPr>
              <w:jc w:val="both"/>
              <w:rPr>
                <w:color w:val="FF0000"/>
                <w:sz w:val="22"/>
              </w:rPr>
            </w:pPr>
            <w:r>
              <w:rPr>
                <w:color w:val="FF0000"/>
                <w:sz w:val="22"/>
              </w:rPr>
              <w:t xml:space="preserve"> </w:t>
            </w:r>
          </w:p>
        </w:tc>
      </w:tr>
    </w:tbl>
    <w:p w14:paraId="7895CA66" w14:textId="77777777" w:rsidR="00CE4FCB" w:rsidRDefault="00CE4FCB" w:rsidP="00FE21D3">
      <w:pPr>
        <w:ind w:firstLine="426"/>
        <w:rPr>
          <w:sz w:val="22"/>
        </w:rPr>
      </w:pPr>
    </w:p>
    <w:p w14:paraId="2582AD22" w14:textId="77777777" w:rsidR="00CE4FCB" w:rsidRPr="00CE4FCB" w:rsidRDefault="00CE4FCB" w:rsidP="00CE4FCB">
      <w:pPr>
        <w:pBdr>
          <w:top w:val="single" w:sz="4" w:space="1" w:color="auto"/>
          <w:left w:val="single" w:sz="4" w:space="4" w:color="auto"/>
          <w:bottom w:val="single" w:sz="4" w:space="1" w:color="auto"/>
          <w:right w:val="single" w:sz="4" w:space="4" w:color="auto"/>
        </w:pBdr>
        <w:ind w:left="426"/>
        <w:jc w:val="center"/>
        <w:rPr>
          <w:b/>
          <w:sz w:val="36"/>
          <w:szCs w:val="36"/>
        </w:rPr>
      </w:pPr>
      <w:r w:rsidRPr="00CE4FCB">
        <w:rPr>
          <w:b/>
          <w:sz w:val="36"/>
          <w:szCs w:val="36"/>
        </w:rPr>
        <w:t>Public Reporting</w:t>
      </w:r>
    </w:p>
    <w:p w14:paraId="16FB14F7" w14:textId="77777777" w:rsidR="00CE4FCB" w:rsidRDefault="00CE4FCB" w:rsidP="00CE4FCB">
      <w:pPr>
        <w:pBdr>
          <w:top w:val="single" w:sz="4" w:space="1" w:color="auto"/>
          <w:left w:val="single" w:sz="4" w:space="4" w:color="auto"/>
          <w:bottom w:val="single" w:sz="4" w:space="1" w:color="auto"/>
          <w:right w:val="single" w:sz="4" w:space="4" w:color="auto"/>
        </w:pBdr>
        <w:ind w:left="426"/>
        <w:rPr>
          <w:sz w:val="22"/>
        </w:rPr>
      </w:pPr>
    </w:p>
    <w:p w14:paraId="395FF8F6" w14:textId="77777777" w:rsidR="00CE4FCB" w:rsidRDefault="00CE4FCB" w:rsidP="00CE4FCB">
      <w:pPr>
        <w:pBdr>
          <w:top w:val="single" w:sz="4" w:space="1" w:color="auto"/>
          <w:left w:val="single" w:sz="4" w:space="4" w:color="auto"/>
          <w:bottom w:val="single" w:sz="4" w:space="1" w:color="auto"/>
          <w:right w:val="single" w:sz="4" w:space="4" w:color="auto"/>
        </w:pBdr>
        <w:ind w:left="426"/>
        <w:rPr>
          <w:sz w:val="22"/>
        </w:rPr>
      </w:pPr>
      <w:r>
        <w:rPr>
          <w:sz w:val="22"/>
        </w:rPr>
        <w:t xml:space="preserve">All completed EQIA Screenings are required to be publically available on the </w:t>
      </w:r>
      <w:hyperlink r:id="rId31" w:history="1">
        <w:r w:rsidRPr="00CE4FCB">
          <w:rPr>
            <w:rStyle w:val="Hyperlink"/>
            <w:sz w:val="22"/>
          </w:rPr>
          <w:t>Council EQIA Webpage</w:t>
        </w:r>
      </w:hyperlink>
      <w:r>
        <w:rPr>
          <w:sz w:val="22"/>
        </w:rPr>
        <w:t xml:space="preserve"> once they have been signed off by the relevant manager, and/or Strategic, Policy, or Operational Group. (See </w:t>
      </w:r>
      <w:hyperlink r:id="rId32" w:history="1">
        <w:r w:rsidRPr="00CE4FCB">
          <w:rPr>
            <w:rStyle w:val="Hyperlink"/>
            <w:sz w:val="22"/>
          </w:rPr>
          <w:t>EQIA Guidance</w:t>
        </w:r>
      </w:hyperlink>
      <w:r>
        <w:rPr>
          <w:sz w:val="22"/>
        </w:rPr>
        <w:t>: Pgs. 11-12)</w:t>
      </w:r>
    </w:p>
    <w:p w14:paraId="47F181C4" w14:textId="77777777" w:rsidR="00CE4FCB" w:rsidRDefault="00CE4FCB" w:rsidP="00CE4FCB">
      <w:pPr>
        <w:pBdr>
          <w:top w:val="single" w:sz="4" w:space="1" w:color="auto"/>
          <w:left w:val="single" w:sz="4" w:space="4" w:color="auto"/>
          <w:bottom w:val="single" w:sz="4" w:space="1" w:color="auto"/>
          <w:right w:val="single" w:sz="4" w:space="4" w:color="auto"/>
        </w:pBdr>
        <w:ind w:left="426"/>
        <w:rPr>
          <w:sz w:val="22"/>
        </w:rPr>
      </w:pPr>
    </w:p>
    <w:p w14:paraId="170C258E" w14:textId="77777777" w:rsidR="00CE4FCB" w:rsidRDefault="00CE4FCB" w:rsidP="00CE4FCB">
      <w:pPr>
        <w:pBdr>
          <w:top w:val="single" w:sz="4" w:space="1" w:color="auto"/>
          <w:left w:val="single" w:sz="4" w:space="4" w:color="auto"/>
          <w:bottom w:val="single" w:sz="4" w:space="1" w:color="auto"/>
          <w:right w:val="single" w:sz="4" w:space="4" w:color="auto"/>
        </w:pBdr>
        <w:rPr>
          <w:sz w:val="22"/>
        </w:rPr>
        <w:sectPr w:rsidR="00CE4FCB" w:rsidSect="002101EA">
          <w:pgSz w:w="16838" w:h="11906" w:orient="landscape" w:code="9"/>
          <w:pgMar w:top="851" w:right="1440" w:bottom="1135" w:left="851" w:header="720" w:footer="720" w:gutter="0"/>
          <w:cols w:space="720"/>
        </w:sectPr>
      </w:pPr>
    </w:p>
    <w:p w14:paraId="78FEE00F" w14:textId="77777777" w:rsidR="00CE1909" w:rsidRDefault="00CE1909" w:rsidP="005272A9">
      <w:pPr>
        <w:pStyle w:val="Heading1"/>
        <w:numPr>
          <w:ilvl w:val="0"/>
          <w:numId w:val="8"/>
        </w:numPr>
      </w:pPr>
      <w:r>
        <w:t>M</w:t>
      </w:r>
      <w:r w:rsidR="00716EFA">
        <w:t>ONITORING</w:t>
      </w:r>
      <w:r>
        <w:t xml:space="preserve"> OUTCOMES</w:t>
      </w:r>
      <w:r w:rsidR="00697CBC">
        <w:t xml:space="preserve">, EVALUATION </w:t>
      </w:r>
      <w:r w:rsidR="005B5549">
        <w:t>&amp; REVIEW</w:t>
      </w:r>
    </w:p>
    <w:p w14:paraId="64E68AD2" w14:textId="77777777" w:rsidR="00A403D7" w:rsidRDefault="00A403D7" w:rsidP="00A403D7">
      <w:pPr>
        <w:ind w:firstLine="720"/>
        <w:rPr>
          <w:sz w:val="22"/>
        </w:rPr>
      </w:pPr>
    </w:p>
    <w:p w14:paraId="7B687F5D" w14:textId="77777777" w:rsidR="00CE1909" w:rsidRDefault="00CE1909" w:rsidP="005B5549">
      <w:pPr>
        <w:ind w:left="720"/>
        <w:rPr>
          <w:sz w:val="22"/>
        </w:rPr>
      </w:pPr>
      <w:r>
        <w:rPr>
          <w:sz w:val="22"/>
        </w:rPr>
        <w:t xml:space="preserve">The </w:t>
      </w:r>
      <w:r w:rsidR="005B5549">
        <w:rPr>
          <w:sz w:val="22"/>
        </w:rPr>
        <w:t>E</w:t>
      </w:r>
      <w:r>
        <w:rPr>
          <w:sz w:val="22"/>
        </w:rPr>
        <w:t xml:space="preserve">qualities </w:t>
      </w:r>
      <w:r w:rsidR="005B5549">
        <w:rPr>
          <w:sz w:val="22"/>
        </w:rPr>
        <w:t>I</w:t>
      </w:r>
      <w:r>
        <w:rPr>
          <w:sz w:val="22"/>
        </w:rPr>
        <w:t xml:space="preserve">mpact </w:t>
      </w:r>
      <w:r w:rsidR="005B5549">
        <w:rPr>
          <w:sz w:val="22"/>
        </w:rPr>
        <w:t>A</w:t>
      </w:r>
      <w:r>
        <w:rPr>
          <w:sz w:val="22"/>
        </w:rPr>
        <w:t>ssessment</w:t>
      </w:r>
      <w:r w:rsidR="00ED47F5">
        <w:rPr>
          <w:sz w:val="22"/>
        </w:rPr>
        <w:t xml:space="preserve"> </w:t>
      </w:r>
      <w:r w:rsidR="005B5549">
        <w:rPr>
          <w:sz w:val="22"/>
        </w:rPr>
        <w:t xml:space="preserve">(EQIA) </w:t>
      </w:r>
      <w:r w:rsidR="00ED47F5">
        <w:rPr>
          <w:sz w:val="22"/>
        </w:rPr>
        <w:t>screening</w:t>
      </w:r>
      <w:r>
        <w:rPr>
          <w:sz w:val="22"/>
        </w:rPr>
        <w:t xml:space="preserve"> is not an end in itself but the start of a continuous monitoring and review process.</w:t>
      </w:r>
      <w:r w:rsidR="005B5549">
        <w:rPr>
          <w:sz w:val="22"/>
        </w:rPr>
        <w:t xml:space="preserve"> The relevant Strategic, Policy, or Operational Group responsible for the delivery of </w:t>
      </w:r>
      <w:r w:rsidR="005B5549" w:rsidRPr="005B5549">
        <w:rPr>
          <w:sz w:val="22"/>
        </w:rPr>
        <w:t xml:space="preserve">the </w:t>
      </w:r>
      <w:r w:rsidR="005B5549" w:rsidRPr="005B5549">
        <w:rPr>
          <w:bCs/>
          <w:sz w:val="22"/>
          <w:szCs w:val="28"/>
        </w:rPr>
        <w:t>Policy, Project, Service Reform or Budget Option</w:t>
      </w:r>
      <w:r w:rsidR="005B5549">
        <w:rPr>
          <w:bCs/>
          <w:sz w:val="22"/>
          <w:szCs w:val="28"/>
        </w:rPr>
        <w:t xml:space="preserve">, is also responsible for monitoring and reviewing the EQIA Screening and any actions that may have been take to mitigate impacts. </w:t>
      </w:r>
    </w:p>
    <w:p w14:paraId="72EB1442" w14:textId="77777777" w:rsidR="00ED47F5" w:rsidRDefault="00ED47F5" w:rsidP="005B5549">
      <w:pPr>
        <w:rPr>
          <w:sz w:val="22"/>
        </w:rPr>
      </w:pPr>
    </w:p>
    <w:p w14:paraId="3F752362" w14:textId="77777777" w:rsidR="00CE1909" w:rsidRDefault="00ED47F5" w:rsidP="00A403D7">
      <w:pPr>
        <w:ind w:left="720"/>
        <w:rPr>
          <w:sz w:val="22"/>
        </w:rPr>
      </w:pPr>
      <w:r>
        <w:rPr>
          <w:sz w:val="22"/>
        </w:rPr>
        <w:t>I</w:t>
      </w:r>
      <w:r w:rsidR="00CE1909">
        <w:rPr>
          <w:sz w:val="22"/>
        </w:rPr>
        <w:t xml:space="preserve">ndividual services are responsible for conducting the impact assessment for their area, staff from </w:t>
      </w:r>
      <w:r w:rsidRPr="00ED47F5">
        <w:rPr>
          <w:b/>
          <w:sz w:val="22"/>
        </w:rPr>
        <w:t xml:space="preserve">Corporate Strategic </w:t>
      </w:r>
      <w:r w:rsidR="00CE1909" w:rsidRPr="00ED47F5">
        <w:rPr>
          <w:b/>
          <w:sz w:val="22"/>
        </w:rPr>
        <w:t xml:space="preserve">Policy and </w:t>
      </w:r>
      <w:r w:rsidRPr="00ED47F5">
        <w:rPr>
          <w:b/>
          <w:sz w:val="22"/>
        </w:rPr>
        <w:t>Planning</w:t>
      </w:r>
      <w:r>
        <w:rPr>
          <w:sz w:val="22"/>
        </w:rPr>
        <w:t xml:space="preserve"> </w:t>
      </w:r>
      <w:r w:rsidR="00CE1909">
        <w:rPr>
          <w:sz w:val="22"/>
        </w:rPr>
        <w:t>will be available to provide support and guidance.</w:t>
      </w:r>
    </w:p>
    <w:p w14:paraId="7F54162E" w14:textId="77777777" w:rsidR="00781F6A" w:rsidRDefault="00781F6A" w:rsidP="00CE1909">
      <w:pPr>
        <w:rPr>
          <w:sz w:val="22"/>
        </w:rPr>
        <w:sectPr w:rsidR="00781F6A" w:rsidSect="002101EA">
          <w:pgSz w:w="16838" w:h="11906" w:orient="landscape" w:code="9"/>
          <w:pgMar w:top="851" w:right="1440" w:bottom="1135" w:left="851" w:header="720" w:footer="720" w:gutter="0"/>
          <w:cols w:space="720"/>
        </w:sectPr>
      </w:pPr>
    </w:p>
    <w:p w14:paraId="57E3D7AC" w14:textId="77777777" w:rsidR="00052239" w:rsidRPr="00CA2835" w:rsidRDefault="00052239" w:rsidP="00052239">
      <w:pPr>
        <w:pStyle w:val="Heading2"/>
        <w:rPr>
          <w:sz w:val="20"/>
        </w:rPr>
      </w:pPr>
      <w:r w:rsidRPr="00CA2835">
        <w:rPr>
          <w:sz w:val="20"/>
        </w:rPr>
        <w:t>Legislation</w:t>
      </w:r>
    </w:p>
    <w:p w14:paraId="5AD5D027" w14:textId="77777777" w:rsidR="00052239" w:rsidRPr="00CA2835" w:rsidRDefault="00052239" w:rsidP="00052239">
      <w:pPr>
        <w:rPr>
          <w:b/>
          <w:color w:val="231F20"/>
          <w:sz w:val="20"/>
          <w:lang w:val="en-US"/>
        </w:rPr>
      </w:pPr>
    </w:p>
    <w:p w14:paraId="579F4CDF" w14:textId="77777777" w:rsidR="00052239" w:rsidRPr="00CA2835" w:rsidRDefault="00052239" w:rsidP="00052239">
      <w:pPr>
        <w:rPr>
          <w:b/>
          <w:sz w:val="20"/>
        </w:rPr>
      </w:pPr>
      <w:r w:rsidRPr="00CA2835">
        <w:rPr>
          <w:b/>
          <w:sz w:val="20"/>
        </w:rPr>
        <w:t>Equality Act (2010) - the Equality Act 2010 (Specific Duties) Scotland Regulations 2012</w:t>
      </w:r>
    </w:p>
    <w:p w14:paraId="1554E5A6" w14:textId="77777777" w:rsidR="00052239" w:rsidRPr="00CA2835" w:rsidRDefault="00052239" w:rsidP="00052239">
      <w:pPr>
        <w:pStyle w:val="Heading1"/>
        <w:rPr>
          <w:b w:val="0"/>
          <w:sz w:val="20"/>
        </w:rPr>
      </w:pPr>
      <w:r w:rsidRPr="00CA2835">
        <w:rPr>
          <w:b w:val="0"/>
          <w:sz w:val="20"/>
        </w:rPr>
        <w:t xml:space="preserve">The 2010 Act consolidated previous equalities legislation to protect people from discrimination on grounds of: </w:t>
      </w:r>
    </w:p>
    <w:p w14:paraId="74FAD496" w14:textId="77777777" w:rsidR="00052239" w:rsidRPr="00CA2835" w:rsidRDefault="00052239" w:rsidP="00052239">
      <w:pPr>
        <w:rPr>
          <w:sz w:val="20"/>
        </w:rPr>
      </w:pPr>
    </w:p>
    <w:p w14:paraId="55BA830A" w14:textId="77777777" w:rsidR="00052239" w:rsidRPr="00CA2835" w:rsidRDefault="00052239" w:rsidP="005272A9">
      <w:pPr>
        <w:numPr>
          <w:ilvl w:val="0"/>
          <w:numId w:val="9"/>
        </w:numPr>
        <w:rPr>
          <w:sz w:val="20"/>
        </w:rPr>
      </w:pPr>
      <w:r w:rsidRPr="00CA2835">
        <w:rPr>
          <w:sz w:val="20"/>
        </w:rPr>
        <w:t>race</w:t>
      </w:r>
    </w:p>
    <w:p w14:paraId="6F41FCE8" w14:textId="77777777" w:rsidR="00A229B4" w:rsidRPr="00CA2835" w:rsidRDefault="00052239" w:rsidP="00A229B4">
      <w:pPr>
        <w:numPr>
          <w:ilvl w:val="0"/>
          <w:numId w:val="9"/>
        </w:numPr>
        <w:rPr>
          <w:sz w:val="20"/>
        </w:rPr>
      </w:pPr>
      <w:r w:rsidRPr="00CA2835">
        <w:rPr>
          <w:sz w:val="20"/>
        </w:rPr>
        <w:t>sex</w:t>
      </w:r>
      <w:r w:rsidR="00A229B4" w:rsidRPr="00CA2835">
        <w:rPr>
          <w:sz w:val="20"/>
        </w:rPr>
        <w:t xml:space="preserve"> </w:t>
      </w:r>
    </w:p>
    <w:p w14:paraId="51904E29" w14:textId="77777777" w:rsidR="00052239" w:rsidRPr="00CA2835" w:rsidRDefault="00A229B4" w:rsidP="00A229B4">
      <w:pPr>
        <w:numPr>
          <w:ilvl w:val="0"/>
          <w:numId w:val="9"/>
        </w:numPr>
        <w:rPr>
          <w:sz w:val="20"/>
        </w:rPr>
      </w:pPr>
      <w:r w:rsidRPr="00CA2835">
        <w:rPr>
          <w:sz w:val="20"/>
        </w:rPr>
        <w:t xml:space="preserve">being a transsexual person (transsexuality is where someone has changed, is changing or has proposed changing their sex – called ‘gender reassignment’ in law) </w:t>
      </w:r>
    </w:p>
    <w:p w14:paraId="28135ABB" w14:textId="77777777" w:rsidR="00052239" w:rsidRPr="00CA2835" w:rsidRDefault="00052239" w:rsidP="005272A9">
      <w:pPr>
        <w:numPr>
          <w:ilvl w:val="0"/>
          <w:numId w:val="9"/>
        </w:numPr>
        <w:rPr>
          <w:sz w:val="20"/>
        </w:rPr>
      </w:pPr>
      <w:r w:rsidRPr="00CA2835">
        <w:rPr>
          <w:sz w:val="20"/>
        </w:rPr>
        <w:t>sexual orientation (whether being lesbian, gay, bisexual or heterosexual)</w:t>
      </w:r>
    </w:p>
    <w:p w14:paraId="098C77A0" w14:textId="77777777" w:rsidR="00052239" w:rsidRPr="00CA2835" w:rsidRDefault="00052239" w:rsidP="005272A9">
      <w:pPr>
        <w:numPr>
          <w:ilvl w:val="0"/>
          <w:numId w:val="9"/>
        </w:numPr>
        <w:rPr>
          <w:sz w:val="20"/>
        </w:rPr>
      </w:pPr>
      <w:r w:rsidRPr="00CA2835">
        <w:rPr>
          <w:sz w:val="20"/>
        </w:rPr>
        <w:t>disability (or because of something connected with their disability)</w:t>
      </w:r>
    </w:p>
    <w:p w14:paraId="6CD5F7BC" w14:textId="77777777" w:rsidR="00052239" w:rsidRPr="00CA2835" w:rsidRDefault="00052239" w:rsidP="005272A9">
      <w:pPr>
        <w:numPr>
          <w:ilvl w:val="0"/>
          <w:numId w:val="9"/>
        </w:numPr>
        <w:rPr>
          <w:sz w:val="20"/>
        </w:rPr>
      </w:pPr>
      <w:r w:rsidRPr="00CA2835">
        <w:rPr>
          <w:sz w:val="20"/>
        </w:rPr>
        <w:t>religion or belief</w:t>
      </w:r>
    </w:p>
    <w:p w14:paraId="678DD37E" w14:textId="77777777" w:rsidR="00052239" w:rsidRPr="00CA2835" w:rsidRDefault="00052239" w:rsidP="005272A9">
      <w:pPr>
        <w:numPr>
          <w:ilvl w:val="0"/>
          <w:numId w:val="9"/>
        </w:numPr>
        <w:rPr>
          <w:sz w:val="20"/>
        </w:rPr>
      </w:pPr>
      <w:r w:rsidRPr="00CA2835">
        <w:rPr>
          <w:sz w:val="20"/>
        </w:rPr>
        <w:t>having just had a baby or being pregnant</w:t>
      </w:r>
    </w:p>
    <w:p w14:paraId="46F76DB4" w14:textId="77777777" w:rsidR="00052239" w:rsidRPr="00CA2835" w:rsidRDefault="00052239" w:rsidP="005272A9">
      <w:pPr>
        <w:numPr>
          <w:ilvl w:val="0"/>
          <w:numId w:val="9"/>
        </w:numPr>
        <w:rPr>
          <w:sz w:val="20"/>
        </w:rPr>
      </w:pPr>
      <w:r w:rsidRPr="00CA2835">
        <w:rPr>
          <w:sz w:val="20"/>
        </w:rPr>
        <w:t>being married or in a civil partnership, and</w:t>
      </w:r>
    </w:p>
    <w:p w14:paraId="1D385F92" w14:textId="77777777" w:rsidR="00052239" w:rsidRPr="00CA2835" w:rsidRDefault="00052239" w:rsidP="005272A9">
      <w:pPr>
        <w:numPr>
          <w:ilvl w:val="0"/>
          <w:numId w:val="9"/>
        </w:numPr>
        <w:rPr>
          <w:sz w:val="20"/>
        </w:rPr>
      </w:pPr>
      <w:r w:rsidRPr="00CA2835">
        <w:rPr>
          <w:sz w:val="20"/>
        </w:rPr>
        <w:t>age.</w:t>
      </w:r>
    </w:p>
    <w:p w14:paraId="16B71AF7" w14:textId="77777777" w:rsidR="00052239" w:rsidRPr="00CA2835" w:rsidRDefault="00052239" w:rsidP="00052239">
      <w:pPr>
        <w:rPr>
          <w:sz w:val="20"/>
        </w:rPr>
      </w:pPr>
    </w:p>
    <w:p w14:paraId="09922EAE" w14:textId="77777777" w:rsidR="00052239" w:rsidRPr="00CA2835" w:rsidRDefault="00052239" w:rsidP="00052239">
      <w:pPr>
        <w:rPr>
          <w:sz w:val="20"/>
        </w:rPr>
      </w:pPr>
      <w:r w:rsidRPr="00CA2835">
        <w:rPr>
          <w:sz w:val="20"/>
        </w:rPr>
        <w:t xml:space="preserve">Further information: </w:t>
      </w:r>
      <w:hyperlink r:id="rId33" w:history="1">
        <w:r w:rsidR="007D5295" w:rsidRPr="00CA2835">
          <w:rPr>
            <w:rStyle w:val="Hyperlink"/>
            <w:sz w:val="20"/>
          </w:rPr>
          <w:t>Equality Act Guidance</w:t>
        </w:r>
      </w:hyperlink>
    </w:p>
    <w:p w14:paraId="48157E7C" w14:textId="77777777" w:rsidR="00052239" w:rsidRPr="00CA2835" w:rsidRDefault="00052239" w:rsidP="00052239">
      <w:pPr>
        <w:rPr>
          <w:rFonts w:cs="Arial"/>
          <w:sz w:val="20"/>
        </w:rPr>
      </w:pPr>
    </w:p>
    <w:p w14:paraId="7BA23A81" w14:textId="77777777" w:rsidR="00052239" w:rsidRPr="00CA2835" w:rsidRDefault="00052239" w:rsidP="00052239">
      <w:pPr>
        <w:rPr>
          <w:rFonts w:cs="Arial"/>
          <w:sz w:val="20"/>
        </w:rPr>
      </w:pPr>
      <w:r w:rsidRPr="00CA2835">
        <w:rPr>
          <w:rFonts w:cs="Arial"/>
          <w:sz w:val="20"/>
        </w:rPr>
        <w:t xml:space="preserve">As noted the Equality Act 2010 simplifies the current laws and puts them all together in one piece of legislation. In addition the </w:t>
      </w:r>
      <w:r w:rsidRPr="00CA2835">
        <w:rPr>
          <w:b/>
          <w:sz w:val="20"/>
        </w:rPr>
        <w:t xml:space="preserve">Specific Duties (Scotland Regulations 2012) </w:t>
      </w:r>
      <w:r w:rsidRPr="00CA2835">
        <w:rPr>
          <w:rFonts w:cs="Arial"/>
          <w:sz w:val="20"/>
          <w:lang w:val="en"/>
        </w:rPr>
        <w:t>require local authorities to do the following to enable better performance of the general equality duty:</w:t>
      </w:r>
    </w:p>
    <w:p w14:paraId="19AB5071" w14:textId="77777777" w:rsidR="00052239" w:rsidRPr="00CA2835" w:rsidRDefault="00052239" w:rsidP="00052239">
      <w:pPr>
        <w:rPr>
          <w:rFonts w:cs="Arial"/>
          <w:sz w:val="20"/>
          <w:lang w:val="en"/>
        </w:rPr>
      </w:pPr>
    </w:p>
    <w:p w14:paraId="5C39AFFA" w14:textId="77777777" w:rsidR="00052239" w:rsidRPr="00CA2835" w:rsidRDefault="00052239" w:rsidP="005272A9">
      <w:pPr>
        <w:numPr>
          <w:ilvl w:val="0"/>
          <w:numId w:val="10"/>
        </w:numPr>
        <w:rPr>
          <w:sz w:val="20"/>
        </w:rPr>
      </w:pPr>
      <w:r w:rsidRPr="00CA2835">
        <w:rPr>
          <w:sz w:val="20"/>
        </w:rPr>
        <w:t>report progress on mainstreaming the general equality duty</w:t>
      </w:r>
    </w:p>
    <w:p w14:paraId="2C20FB1D" w14:textId="77777777" w:rsidR="00052239" w:rsidRPr="00CA2835" w:rsidRDefault="00052239" w:rsidP="005272A9">
      <w:pPr>
        <w:numPr>
          <w:ilvl w:val="0"/>
          <w:numId w:val="10"/>
        </w:numPr>
        <w:rPr>
          <w:sz w:val="20"/>
        </w:rPr>
      </w:pPr>
      <w:r w:rsidRPr="00CA2835">
        <w:rPr>
          <w:sz w:val="20"/>
        </w:rPr>
        <w:t>publish equality outcomes and report progress in meeting those</w:t>
      </w:r>
    </w:p>
    <w:p w14:paraId="084E5397" w14:textId="77777777" w:rsidR="00052239" w:rsidRPr="00CA2835" w:rsidRDefault="00052239" w:rsidP="005272A9">
      <w:pPr>
        <w:numPr>
          <w:ilvl w:val="0"/>
          <w:numId w:val="10"/>
        </w:numPr>
        <w:rPr>
          <w:sz w:val="20"/>
        </w:rPr>
      </w:pPr>
      <w:r w:rsidRPr="00CA2835">
        <w:rPr>
          <w:sz w:val="20"/>
        </w:rPr>
        <w:t>impact assess new or revised policies and practices as well as making arrangements to review existing policies and practices</w:t>
      </w:r>
      <w:r w:rsidRPr="00CA2835">
        <w:rPr>
          <w:sz w:val="20"/>
        </w:rPr>
        <w:br/>
        <w:t>gather, use and publish employee information</w:t>
      </w:r>
    </w:p>
    <w:p w14:paraId="3FE98958" w14:textId="77777777" w:rsidR="00052239" w:rsidRPr="00CA2835" w:rsidRDefault="00052239" w:rsidP="005272A9">
      <w:pPr>
        <w:numPr>
          <w:ilvl w:val="0"/>
          <w:numId w:val="10"/>
        </w:numPr>
        <w:rPr>
          <w:sz w:val="20"/>
        </w:rPr>
      </w:pPr>
      <w:r w:rsidRPr="00CA2835">
        <w:rPr>
          <w:sz w:val="20"/>
        </w:rPr>
        <w:t>publish gender pay gap information and an equal pay statement</w:t>
      </w:r>
    </w:p>
    <w:p w14:paraId="7D46C55D" w14:textId="77777777" w:rsidR="00052239" w:rsidRPr="00CA2835" w:rsidRDefault="00052239" w:rsidP="005272A9">
      <w:pPr>
        <w:numPr>
          <w:ilvl w:val="0"/>
          <w:numId w:val="10"/>
        </w:numPr>
        <w:rPr>
          <w:sz w:val="20"/>
        </w:rPr>
      </w:pPr>
      <w:r w:rsidRPr="00CA2835">
        <w:rPr>
          <w:sz w:val="20"/>
        </w:rPr>
        <w:t>consider adding equality award criteria and contract conditions in public procurement exercises.</w:t>
      </w:r>
    </w:p>
    <w:p w14:paraId="1F0E7D2B" w14:textId="77777777" w:rsidR="00052239" w:rsidRPr="00CA2835" w:rsidRDefault="00052239" w:rsidP="00052239">
      <w:pPr>
        <w:rPr>
          <w:sz w:val="20"/>
        </w:rPr>
      </w:pPr>
    </w:p>
    <w:p w14:paraId="09E4A22E" w14:textId="77777777" w:rsidR="00052239" w:rsidRPr="00CA2835" w:rsidRDefault="00052239" w:rsidP="00052239">
      <w:pPr>
        <w:rPr>
          <w:sz w:val="20"/>
        </w:rPr>
      </w:pPr>
      <w:r w:rsidRPr="00CA2835">
        <w:rPr>
          <w:sz w:val="20"/>
        </w:rPr>
        <w:t xml:space="preserve">Further information: </w:t>
      </w:r>
      <w:hyperlink r:id="rId34" w:history="1">
        <w:r w:rsidR="007D5295" w:rsidRPr="00CA2835">
          <w:rPr>
            <w:rStyle w:val="Hyperlink"/>
            <w:sz w:val="20"/>
          </w:rPr>
          <w:t>Understanding Scottish Specific Public Sector Equality Duties</w:t>
        </w:r>
      </w:hyperlink>
    </w:p>
    <w:p w14:paraId="232E8419" w14:textId="77777777" w:rsidR="00052239" w:rsidRPr="00CA2835" w:rsidRDefault="00052239" w:rsidP="00052239">
      <w:pPr>
        <w:rPr>
          <w:sz w:val="20"/>
        </w:rPr>
      </w:pPr>
    </w:p>
    <w:p w14:paraId="4A8E6E33" w14:textId="77777777" w:rsidR="00CA2835" w:rsidRDefault="00CA2835" w:rsidP="00052239">
      <w:pPr>
        <w:rPr>
          <w:b/>
          <w:sz w:val="20"/>
        </w:rPr>
      </w:pPr>
    </w:p>
    <w:p w14:paraId="5526806E" w14:textId="77777777" w:rsidR="007D5295" w:rsidRPr="00CA2835" w:rsidRDefault="00CA2835" w:rsidP="00052239">
      <w:pPr>
        <w:rPr>
          <w:b/>
          <w:sz w:val="20"/>
        </w:rPr>
      </w:pPr>
      <w:r w:rsidRPr="00CA2835">
        <w:rPr>
          <w:b/>
          <w:sz w:val="20"/>
        </w:rPr>
        <w:t>Fairer Scotland Duty</w:t>
      </w:r>
    </w:p>
    <w:p w14:paraId="4119D700" w14:textId="77777777" w:rsidR="00CA2835" w:rsidRDefault="00CA2835" w:rsidP="00052239">
      <w:pPr>
        <w:rPr>
          <w:sz w:val="20"/>
        </w:rPr>
      </w:pPr>
      <w:r>
        <w:rPr>
          <w:sz w:val="20"/>
        </w:rPr>
        <w:t xml:space="preserve">Authorities should also consider Socio-Economic Impacts where appropriate.  Further information: </w:t>
      </w:r>
      <w:hyperlink r:id="rId35" w:history="1">
        <w:r w:rsidRPr="00CA2835">
          <w:rPr>
            <w:rStyle w:val="Hyperlink"/>
            <w:sz w:val="20"/>
          </w:rPr>
          <w:t>Fairer Scotland Duty Interim Guidance</w:t>
        </w:r>
      </w:hyperlink>
    </w:p>
    <w:p w14:paraId="1759E914" w14:textId="77777777" w:rsidR="00CA2835" w:rsidRDefault="00CA2835" w:rsidP="00052239">
      <w:pPr>
        <w:rPr>
          <w:b/>
          <w:sz w:val="20"/>
        </w:rPr>
      </w:pPr>
    </w:p>
    <w:p w14:paraId="6F4F6214" w14:textId="77777777" w:rsidR="00CA2835" w:rsidRDefault="00CA2835" w:rsidP="00052239">
      <w:pPr>
        <w:rPr>
          <w:b/>
          <w:sz w:val="20"/>
        </w:rPr>
      </w:pPr>
    </w:p>
    <w:p w14:paraId="537293D9" w14:textId="77777777" w:rsidR="00B25BF3" w:rsidRPr="00CA2835" w:rsidRDefault="00052239" w:rsidP="00052239">
      <w:pPr>
        <w:rPr>
          <w:sz w:val="20"/>
        </w:rPr>
      </w:pPr>
      <w:r w:rsidRPr="00CA2835">
        <w:rPr>
          <w:b/>
          <w:sz w:val="20"/>
        </w:rPr>
        <w:t>Enforcement</w:t>
      </w:r>
      <w:r w:rsidRPr="00CA2835">
        <w:rPr>
          <w:sz w:val="20"/>
        </w:rPr>
        <w:br/>
        <w:t>Judicial review of an authority can be taken by any person, including the Equality and Human Rights Commission (EHRC) or a group of people, with an interest, in respect of alleged failure to comply with the general equality duty.  Only the EHRC can enforce the specific duties.   A failure to comply with the specific duties may however be used as evidence of a failure to comply with the general duty.</w:t>
      </w:r>
    </w:p>
    <w:sectPr w:rsidR="00B25BF3" w:rsidRPr="00CA2835" w:rsidSect="002101EA">
      <w:pgSz w:w="16838" w:h="11906" w:orient="landscape" w:code="9"/>
      <w:pgMar w:top="851" w:right="1178" w:bottom="113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F70B9" w14:textId="77777777" w:rsidR="00BE1D1B" w:rsidRDefault="00BE1D1B">
      <w:r>
        <w:separator/>
      </w:r>
    </w:p>
  </w:endnote>
  <w:endnote w:type="continuationSeparator" w:id="0">
    <w:p w14:paraId="0D1C2296" w14:textId="77777777" w:rsidR="00BE1D1B" w:rsidRDefault="00BE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E5871" w14:textId="2501AF1E" w:rsidR="00CE1237" w:rsidRDefault="00CD3C37" w:rsidP="00CD3C37">
    <w:pPr>
      <w:pStyle w:val="Footer"/>
      <w:jc w:val="center"/>
    </w:pPr>
    <w:fldSimple w:instr=" DOCPROPERTY bjFooterEvenPageDocProperty \* MERGEFORMAT " w:fldLock="1">
      <w:r w:rsidRPr="00CD3C37">
        <w:rPr>
          <w:rFonts w:cs="Arial"/>
          <w:b/>
          <w:color w:val="00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8CDB" w14:textId="73778AE1" w:rsidR="00CE1237" w:rsidRDefault="00CD3C37" w:rsidP="00CD3C37">
    <w:pPr>
      <w:pStyle w:val="Footer"/>
      <w:jc w:val="center"/>
      <w:rPr>
        <w:snapToGrid w:val="0"/>
        <w:sz w:val="16"/>
      </w:rPr>
    </w:pPr>
    <w:r>
      <w:rPr>
        <w:snapToGrid w:val="0"/>
        <w:sz w:val="16"/>
      </w:rPr>
      <w:fldChar w:fldCharType="begin" w:fldLock="1"/>
    </w:r>
    <w:r>
      <w:rPr>
        <w:snapToGrid w:val="0"/>
        <w:sz w:val="16"/>
      </w:rPr>
      <w:instrText xml:space="preserve"> DOCPROPERTY bjFooterBothDocProperty \* MERGEFORMAT </w:instrText>
    </w:r>
    <w:r>
      <w:rPr>
        <w:snapToGrid w:val="0"/>
        <w:sz w:val="16"/>
      </w:rPr>
      <w:fldChar w:fldCharType="separate"/>
    </w:r>
    <w:r w:rsidRPr="00CD3C37">
      <w:rPr>
        <w:rFonts w:cs="Arial"/>
        <w:b/>
        <w:snapToGrid w:val="0"/>
        <w:color w:val="000000"/>
      </w:rPr>
      <w:t>OFFICIAL</w:t>
    </w:r>
    <w:r>
      <w:rPr>
        <w:snapToGrid w:val="0"/>
        <w:sz w:val="16"/>
      </w:rPr>
      <w:fldChar w:fldCharType="end"/>
    </w:r>
  </w:p>
  <w:p w14:paraId="6DD360A8" w14:textId="77777777" w:rsidR="00797EAC" w:rsidRDefault="00797EA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5990" w14:textId="77777777" w:rsidR="00C42251" w:rsidRDefault="00C4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ECBF6" w14:textId="77777777" w:rsidR="00BE1D1B" w:rsidRDefault="00BE1D1B">
      <w:r>
        <w:separator/>
      </w:r>
    </w:p>
  </w:footnote>
  <w:footnote w:type="continuationSeparator" w:id="0">
    <w:p w14:paraId="25DC7BE3" w14:textId="77777777" w:rsidR="00BE1D1B" w:rsidRDefault="00BE1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E492" w14:textId="6ADB30EA" w:rsidR="00CE1237" w:rsidRDefault="00CD3C37" w:rsidP="00CD3C37">
    <w:pPr>
      <w:pStyle w:val="Header"/>
      <w:jc w:val="center"/>
    </w:pPr>
    <w:fldSimple w:instr=" DOCPROPERTY bjHeaderEvenPageDocProperty \* MERGEFORMAT " w:fldLock="1">
      <w:r w:rsidRPr="00CD3C37">
        <w:rPr>
          <w:rFonts w:cs="Arial"/>
          <w:b/>
          <w:color w:val="000000"/>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F6E4" w14:textId="3978A8F1" w:rsidR="00CE1237" w:rsidRDefault="00CD3C37" w:rsidP="00CD3C37">
    <w:pPr>
      <w:pStyle w:val="Header"/>
      <w:tabs>
        <w:tab w:val="left" w:pos="825"/>
        <w:tab w:val="right" w:pos="14547"/>
      </w:tabs>
      <w:jc w:val="center"/>
      <w:rPr>
        <w:b/>
        <w:noProof/>
      </w:rPr>
    </w:pPr>
    <w:r>
      <w:rPr>
        <w:b/>
        <w:noProof/>
      </w:rPr>
      <w:fldChar w:fldCharType="begin" w:fldLock="1"/>
    </w:r>
    <w:r>
      <w:rPr>
        <w:b/>
        <w:noProof/>
      </w:rPr>
      <w:instrText xml:space="preserve"> DOCPROPERTY bjHeaderBothDocProperty \* MERGEFORMAT </w:instrText>
    </w:r>
    <w:r>
      <w:rPr>
        <w:b/>
        <w:noProof/>
      </w:rPr>
      <w:fldChar w:fldCharType="separate"/>
    </w:r>
    <w:r w:rsidRPr="00CD3C37">
      <w:rPr>
        <w:rFonts w:cs="Arial"/>
        <w:b/>
        <w:noProof/>
        <w:color w:val="000000"/>
      </w:rPr>
      <w:t>OFFICIAL</w:t>
    </w:r>
    <w:r>
      <w:rPr>
        <w:b/>
        <w:noProof/>
      </w:rPr>
      <w:fldChar w:fldCharType="end"/>
    </w:r>
  </w:p>
  <w:p w14:paraId="433D6571" w14:textId="77777777" w:rsidR="00797EAC" w:rsidRDefault="009A41FC" w:rsidP="009A41FC">
    <w:pPr>
      <w:pStyle w:val="Header"/>
      <w:tabs>
        <w:tab w:val="left" w:pos="825"/>
        <w:tab w:val="right" w:pos="14547"/>
      </w:tabs>
      <w:rPr>
        <w:b/>
      </w:rPr>
    </w:pPr>
    <w:r>
      <w:rPr>
        <w:b/>
        <w:noProof/>
      </w:rPr>
      <w:tab/>
    </w:r>
    <w:r>
      <w:rPr>
        <w:b/>
        <w:noProof/>
      </w:rPr>
      <w:tab/>
    </w:r>
    <w:r>
      <w:rPr>
        <w:b/>
        <w:noProof/>
      </w:rPr>
      <w:tab/>
    </w:r>
    <w:r>
      <w:rPr>
        <w:b/>
        <w:noProof/>
      </w:rPr>
      <w:tab/>
    </w:r>
    <w:r w:rsidR="00797EAC">
      <w:rPr>
        <w:b/>
        <w:noProof/>
      </w:rPr>
      <w:t>EQIA Screening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0FAD" w14:textId="77777777" w:rsidR="00C42251" w:rsidRDefault="00C42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1FC2"/>
    <w:multiLevelType w:val="hybridMultilevel"/>
    <w:tmpl w:val="3DA2BC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343A"/>
    <w:multiLevelType w:val="hybridMultilevel"/>
    <w:tmpl w:val="B04CD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922179"/>
    <w:multiLevelType w:val="hybridMultilevel"/>
    <w:tmpl w:val="CC3C92E4"/>
    <w:lvl w:ilvl="0" w:tplc="0809000B">
      <w:start w:val="1"/>
      <w:numFmt w:val="bullet"/>
      <w:lvlText w:val=""/>
      <w:lvlJc w:val="left"/>
      <w:pPr>
        <w:tabs>
          <w:tab w:val="num" w:pos="680"/>
        </w:tabs>
        <w:ind w:left="680" w:hanging="340"/>
      </w:pPr>
      <w:rPr>
        <w:rFonts w:ascii="Wingdings" w:hAnsi="Wingdings" w:hint="default"/>
      </w:rPr>
    </w:lvl>
    <w:lvl w:ilvl="1" w:tplc="0809000B">
      <w:start w:val="1"/>
      <w:numFmt w:val="bullet"/>
      <w:lvlText w:val=""/>
      <w:lvlJc w:val="left"/>
      <w:pPr>
        <w:tabs>
          <w:tab w:val="num" w:pos="1780"/>
        </w:tabs>
        <w:ind w:left="1780" w:hanging="360"/>
      </w:pPr>
      <w:rPr>
        <w:rFonts w:ascii="Wingdings" w:hAnsi="Wingdings"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613156B"/>
    <w:multiLevelType w:val="hybridMultilevel"/>
    <w:tmpl w:val="B7A610FC"/>
    <w:lvl w:ilvl="0" w:tplc="C3C6FE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68345E5"/>
    <w:multiLevelType w:val="hybridMultilevel"/>
    <w:tmpl w:val="A168C09C"/>
    <w:lvl w:ilvl="0" w:tplc="254E9F26">
      <w:start w:val="1"/>
      <w:numFmt w:val="decimal"/>
      <w:lvlText w:val="Step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D45980"/>
    <w:multiLevelType w:val="hybridMultilevel"/>
    <w:tmpl w:val="9B6CF856"/>
    <w:lvl w:ilvl="0" w:tplc="C274919C">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A4661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C80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F49A2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648D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60F03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10A3D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223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28A2C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9C1B35"/>
    <w:multiLevelType w:val="hybridMultilevel"/>
    <w:tmpl w:val="E5628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68784"/>
    <w:multiLevelType w:val="hybridMultilevel"/>
    <w:tmpl w:val="F1A9F9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9747DF"/>
    <w:multiLevelType w:val="hybridMultilevel"/>
    <w:tmpl w:val="0734AAFE"/>
    <w:lvl w:ilvl="0" w:tplc="432C61BE">
      <w:start w:val="1"/>
      <w:numFmt w:val="lowerLetter"/>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9472B3"/>
    <w:multiLevelType w:val="hybridMultilevel"/>
    <w:tmpl w:val="C45CB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4C4FE7"/>
    <w:multiLevelType w:val="hybridMultilevel"/>
    <w:tmpl w:val="07EAD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EF7F53"/>
    <w:multiLevelType w:val="hybridMultilevel"/>
    <w:tmpl w:val="BC849C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0B7D54"/>
    <w:multiLevelType w:val="multilevel"/>
    <w:tmpl w:val="A9280E00"/>
    <w:lvl w:ilvl="0">
      <w:start w:val="1"/>
      <w:numFmt w:val="decimal"/>
      <w:lvlText w:val="%1"/>
      <w:lvlJc w:val="left"/>
      <w:pPr>
        <w:ind w:left="615" w:hanging="615"/>
      </w:pPr>
      <w:rPr>
        <w:rFonts w:ascii="Calibri" w:hAnsi="Calibri" w:cs="Calibri" w:hint="default"/>
        <w:b/>
        <w:color w:val="006A5F"/>
      </w:rPr>
    </w:lvl>
    <w:lvl w:ilvl="1">
      <w:start w:val="1"/>
      <w:numFmt w:val="decimal"/>
      <w:lvlText w:val="%1.%2"/>
      <w:lvlJc w:val="left"/>
      <w:pPr>
        <w:ind w:left="707" w:hanging="615"/>
      </w:pPr>
      <w:rPr>
        <w:rFonts w:ascii="Calibri" w:hAnsi="Calibri" w:cs="Calibri" w:hint="default"/>
        <w:b/>
        <w:color w:val="006A5F"/>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13" w15:restartNumberingAfterBreak="0">
    <w:nsid w:val="3CAA0AF0"/>
    <w:multiLevelType w:val="hybridMultilevel"/>
    <w:tmpl w:val="9FCCFE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D0C3A79"/>
    <w:multiLevelType w:val="hybridMultilevel"/>
    <w:tmpl w:val="58F4E2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16680"/>
    <w:multiLevelType w:val="multilevel"/>
    <w:tmpl w:val="82102C36"/>
    <w:lvl w:ilvl="0">
      <w:start w:val="1"/>
      <w:numFmt w:val="decimal"/>
      <w:lvlText w:val="%1"/>
      <w:lvlJc w:val="left"/>
      <w:pPr>
        <w:tabs>
          <w:tab w:val="num" w:pos="0"/>
        </w:tabs>
        <w:ind w:left="720" w:hanging="720"/>
      </w:pPr>
      <w:rPr>
        <w:rFonts w:hint="default"/>
        <w:b/>
      </w:rPr>
    </w:lvl>
    <w:lvl w:ilvl="1">
      <w:start w:val="1"/>
      <w:numFmt w:val="decimal"/>
      <w:lvlText w:val="%1.%2"/>
      <w:lvlJc w:val="left"/>
      <w:pPr>
        <w:tabs>
          <w:tab w:val="num" w:pos="0"/>
        </w:tabs>
        <w:ind w:left="720" w:hanging="720"/>
      </w:pPr>
      <w:rPr>
        <w:rFonts w:ascii="Arial" w:hAnsi="Arial" w:hint="default"/>
        <w:b w:val="0"/>
        <w:i w:val="0"/>
        <w:sz w:val="24"/>
      </w:rPr>
    </w:lvl>
    <w:lvl w:ilvl="2">
      <w:start w:val="1"/>
      <w:numFmt w:val="decimal"/>
      <w:lvlText w:val="%1.%2.%3"/>
      <w:lvlJc w:val="left"/>
      <w:pPr>
        <w:tabs>
          <w:tab w:val="num" w:pos="720"/>
        </w:tabs>
        <w:ind w:left="720" w:firstLine="0"/>
      </w:pPr>
      <w:rPr>
        <w:rFonts w:hint="default"/>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1800"/>
        </w:tabs>
        <w:ind w:left="1800" w:hanging="1800"/>
      </w:pPr>
      <w:rPr>
        <w:rFonts w:hint="default"/>
      </w:rPr>
    </w:lvl>
  </w:abstractNum>
  <w:abstractNum w:abstractNumId="16" w15:restartNumberingAfterBreak="0">
    <w:nsid w:val="3DC150C6"/>
    <w:multiLevelType w:val="hybridMultilevel"/>
    <w:tmpl w:val="2A9E3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730CF"/>
    <w:multiLevelType w:val="hybridMultilevel"/>
    <w:tmpl w:val="79B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83B9C"/>
    <w:multiLevelType w:val="hybridMultilevel"/>
    <w:tmpl w:val="033A193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97B9C"/>
    <w:multiLevelType w:val="hybridMultilevel"/>
    <w:tmpl w:val="B9882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6B7283D"/>
    <w:multiLevelType w:val="hybridMultilevel"/>
    <w:tmpl w:val="4DDEA744"/>
    <w:lvl w:ilvl="0" w:tplc="254E9F26">
      <w:start w:val="1"/>
      <w:numFmt w:val="decimal"/>
      <w:lvlText w:val="Step %1."/>
      <w:lvlJc w:val="left"/>
      <w:pPr>
        <w:tabs>
          <w:tab w:val="num" w:pos="360"/>
        </w:tabs>
        <w:ind w:left="360" w:hanging="360"/>
      </w:pPr>
      <w:rPr>
        <w:rFonts w:hint="default"/>
      </w:rPr>
    </w:lvl>
    <w:lvl w:ilvl="1" w:tplc="5B94BA12">
      <w:start w:val="1"/>
      <w:numFmt w:val="bullet"/>
      <w:lvlText w:val=""/>
      <w:lvlJc w:val="left"/>
      <w:pPr>
        <w:tabs>
          <w:tab w:val="num" w:pos="1060"/>
        </w:tabs>
        <w:ind w:left="1060" w:hanging="34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7955C26"/>
    <w:multiLevelType w:val="hybridMultilevel"/>
    <w:tmpl w:val="EFEE07DE"/>
    <w:lvl w:ilvl="0" w:tplc="0809000F">
      <w:start w:val="11"/>
      <w:numFmt w:val="decimal"/>
      <w:lvlText w:val="%1."/>
      <w:lvlJc w:val="left"/>
      <w:pPr>
        <w:ind w:left="360" w:hanging="360"/>
      </w:pPr>
      <w:rPr>
        <w:rFonts w:hint="default"/>
      </w:rPr>
    </w:lvl>
    <w:lvl w:ilvl="1" w:tplc="08090019">
      <w:start w:val="1"/>
      <w:numFmt w:val="lowerLetter"/>
      <w:lvlText w:val="%2."/>
      <w:lvlJc w:val="left"/>
      <w:pPr>
        <w:ind w:left="1015" w:hanging="360"/>
      </w:pPr>
    </w:lvl>
    <w:lvl w:ilvl="2" w:tplc="0809001B">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2" w15:restartNumberingAfterBreak="0">
    <w:nsid w:val="4AF83D9F"/>
    <w:multiLevelType w:val="hybridMultilevel"/>
    <w:tmpl w:val="BE122F22"/>
    <w:lvl w:ilvl="0" w:tplc="143EF87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1D58D3"/>
    <w:multiLevelType w:val="hybridMultilevel"/>
    <w:tmpl w:val="D9B0C7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56824"/>
    <w:multiLevelType w:val="hybridMultilevel"/>
    <w:tmpl w:val="1FDA47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CF03ED2"/>
    <w:multiLevelType w:val="hybridMultilevel"/>
    <w:tmpl w:val="8272B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51D34"/>
    <w:multiLevelType w:val="hybridMultilevel"/>
    <w:tmpl w:val="2AE267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8B04AD"/>
    <w:multiLevelType w:val="hybridMultilevel"/>
    <w:tmpl w:val="271808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373D8"/>
    <w:multiLevelType w:val="hybridMultilevel"/>
    <w:tmpl w:val="4BDA4C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4A068A4"/>
    <w:multiLevelType w:val="hybridMultilevel"/>
    <w:tmpl w:val="DE1ED4C8"/>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D4DB0"/>
    <w:multiLevelType w:val="hybridMultilevel"/>
    <w:tmpl w:val="2DCC7A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CF66D3"/>
    <w:multiLevelType w:val="hybridMultilevel"/>
    <w:tmpl w:val="EAA2075C"/>
    <w:lvl w:ilvl="0" w:tplc="6DB06B9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7754BB"/>
    <w:multiLevelType w:val="hybridMultilevel"/>
    <w:tmpl w:val="B3F08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B877B4"/>
    <w:multiLevelType w:val="hybridMultilevel"/>
    <w:tmpl w:val="DF7409F0"/>
    <w:lvl w:ilvl="0" w:tplc="254E9F26">
      <w:start w:val="1"/>
      <w:numFmt w:val="decimal"/>
      <w:lvlText w:val="Step %1."/>
      <w:lvlJc w:val="left"/>
      <w:pPr>
        <w:tabs>
          <w:tab w:val="num" w:pos="1353"/>
        </w:tabs>
        <w:ind w:left="1353" w:hanging="360"/>
      </w:pPr>
      <w:rPr>
        <w:rFonts w:hint="default"/>
      </w:rPr>
    </w:lvl>
    <w:lvl w:ilvl="1" w:tplc="08090019" w:tentative="1">
      <w:start w:val="1"/>
      <w:numFmt w:val="lowerLetter"/>
      <w:lvlText w:val="%2."/>
      <w:lvlJc w:val="left"/>
      <w:pPr>
        <w:tabs>
          <w:tab w:val="num" w:pos="2433"/>
        </w:tabs>
        <w:ind w:left="2433" w:hanging="360"/>
      </w:p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num w:numId="1">
    <w:abstractNumId w:val="20"/>
  </w:num>
  <w:num w:numId="2">
    <w:abstractNumId w:val="26"/>
  </w:num>
  <w:num w:numId="3">
    <w:abstractNumId w:val="14"/>
  </w:num>
  <w:num w:numId="4">
    <w:abstractNumId w:val="29"/>
  </w:num>
  <w:num w:numId="5">
    <w:abstractNumId w:val="7"/>
  </w:num>
  <w:num w:numId="6">
    <w:abstractNumId w:val="23"/>
  </w:num>
  <w:num w:numId="7">
    <w:abstractNumId w:val="9"/>
  </w:num>
  <w:num w:numId="8">
    <w:abstractNumId w:val="22"/>
  </w:num>
  <w:num w:numId="9">
    <w:abstractNumId w:val="11"/>
  </w:num>
  <w:num w:numId="10">
    <w:abstractNumId w:val="1"/>
  </w:num>
  <w:num w:numId="11">
    <w:abstractNumId w:val="2"/>
  </w:num>
  <w:num w:numId="12">
    <w:abstractNumId w:val="4"/>
  </w:num>
  <w:num w:numId="13">
    <w:abstractNumId w:val="30"/>
  </w:num>
  <w:num w:numId="14">
    <w:abstractNumId w:val="33"/>
  </w:num>
  <w:num w:numId="15">
    <w:abstractNumId w:val="18"/>
  </w:num>
  <w:num w:numId="16">
    <w:abstractNumId w:val="17"/>
  </w:num>
  <w:num w:numId="17">
    <w:abstractNumId w:val="27"/>
  </w:num>
  <w:num w:numId="18">
    <w:abstractNumId w:val="6"/>
  </w:num>
  <w:num w:numId="19">
    <w:abstractNumId w:val="16"/>
  </w:num>
  <w:num w:numId="20">
    <w:abstractNumId w:val="25"/>
  </w:num>
  <w:num w:numId="21">
    <w:abstractNumId w:val="32"/>
  </w:num>
  <w:num w:numId="22">
    <w:abstractNumId w:val="0"/>
  </w:num>
  <w:num w:numId="23">
    <w:abstractNumId w:val="12"/>
  </w:num>
  <w:num w:numId="24">
    <w:abstractNumId w:val="5"/>
  </w:num>
  <w:num w:numId="25">
    <w:abstractNumId w:val="8"/>
  </w:num>
  <w:num w:numId="26">
    <w:abstractNumId w:val="3"/>
  </w:num>
  <w:num w:numId="27">
    <w:abstractNumId w:val="31"/>
  </w:num>
  <w:num w:numId="28">
    <w:abstractNumId w:val="13"/>
    <w:lvlOverride w:ilvl="0"/>
    <w:lvlOverride w:ilvl="1"/>
    <w:lvlOverride w:ilvl="2"/>
    <w:lvlOverride w:ilvl="3"/>
    <w:lvlOverride w:ilvl="4"/>
    <w:lvlOverride w:ilvl="5"/>
    <w:lvlOverride w:ilvl="6"/>
    <w:lvlOverride w:ilvl="7"/>
    <w:lvlOverride w:ilvl="8"/>
  </w:num>
  <w:num w:numId="29">
    <w:abstractNumId w:val="28"/>
  </w:num>
  <w:num w:numId="30">
    <w:abstractNumId w:val="10"/>
  </w:num>
  <w:num w:numId="31">
    <w:abstractNumId w:val="19"/>
    <w:lvlOverride w:ilvl="0"/>
    <w:lvlOverride w:ilvl="1"/>
    <w:lvlOverride w:ilvl="2"/>
    <w:lvlOverride w:ilvl="3"/>
    <w:lvlOverride w:ilvl="4"/>
    <w:lvlOverride w:ilvl="5"/>
    <w:lvlOverride w:ilvl="6"/>
    <w:lvlOverride w:ilvl="7"/>
    <w:lvlOverride w:ilvl="8"/>
  </w:num>
  <w:num w:numId="32">
    <w:abstractNumId w:val="24"/>
  </w:num>
  <w:num w:numId="33">
    <w:abstractNumId w:val="15"/>
  </w:num>
  <w:num w:numId="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F3"/>
    <w:rsid w:val="0003077B"/>
    <w:rsid w:val="00052239"/>
    <w:rsid w:val="00053F44"/>
    <w:rsid w:val="00063F60"/>
    <w:rsid w:val="000706CA"/>
    <w:rsid w:val="00073CFF"/>
    <w:rsid w:val="00076964"/>
    <w:rsid w:val="00077E39"/>
    <w:rsid w:val="00085E32"/>
    <w:rsid w:val="0008624C"/>
    <w:rsid w:val="0008714A"/>
    <w:rsid w:val="00087C6A"/>
    <w:rsid w:val="0009480A"/>
    <w:rsid w:val="000A16C5"/>
    <w:rsid w:val="000A3C1E"/>
    <w:rsid w:val="000B1475"/>
    <w:rsid w:val="000B5A0D"/>
    <w:rsid w:val="000B6735"/>
    <w:rsid w:val="000E4CA3"/>
    <w:rsid w:val="000F0870"/>
    <w:rsid w:val="000F0C7E"/>
    <w:rsid w:val="0010011F"/>
    <w:rsid w:val="00100FF8"/>
    <w:rsid w:val="00104987"/>
    <w:rsid w:val="0011287B"/>
    <w:rsid w:val="00114156"/>
    <w:rsid w:val="00120BF2"/>
    <w:rsid w:val="00124879"/>
    <w:rsid w:val="0013070E"/>
    <w:rsid w:val="0013508F"/>
    <w:rsid w:val="0015074D"/>
    <w:rsid w:val="00163A6F"/>
    <w:rsid w:val="00164CBF"/>
    <w:rsid w:val="0016790C"/>
    <w:rsid w:val="00167A8F"/>
    <w:rsid w:val="001742F6"/>
    <w:rsid w:val="00175AE8"/>
    <w:rsid w:val="00176181"/>
    <w:rsid w:val="00177E1F"/>
    <w:rsid w:val="00181322"/>
    <w:rsid w:val="001816F7"/>
    <w:rsid w:val="00183998"/>
    <w:rsid w:val="00191DAA"/>
    <w:rsid w:val="00197B88"/>
    <w:rsid w:val="001B1095"/>
    <w:rsid w:val="001B14B1"/>
    <w:rsid w:val="001B171C"/>
    <w:rsid w:val="001B7482"/>
    <w:rsid w:val="001C5F12"/>
    <w:rsid w:val="001C7E75"/>
    <w:rsid w:val="001D4004"/>
    <w:rsid w:val="001F3884"/>
    <w:rsid w:val="001F4BB9"/>
    <w:rsid w:val="001F76B9"/>
    <w:rsid w:val="00201E2A"/>
    <w:rsid w:val="002021C3"/>
    <w:rsid w:val="00204910"/>
    <w:rsid w:val="002101EA"/>
    <w:rsid w:val="0021793B"/>
    <w:rsid w:val="002209C3"/>
    <w:rsid w:val="00225422"/>
    <w:rsid w:val="002377D3"/>
    <w:rsid w:val="00246BB5"/>
    <w:rsid w:val="00250147"/>
    <w:rsid w:val="00261FC1"/>
    <w:rsid w:val="00273AF0"/>
    <w:rsid w:val="00275D4A"/>
    <w:rsid w:val="002917C5"/>
    <w:rsid w:val="0029498D"/>
    <w:rsid w:val="002A0098"/>
    <w:rsid w:val="002A270B"/>
    <w:rsid w:val="002A4E78"/>
    <w:rsid w:val="002B31B4"/>
    <w:rsid w:val="002B66F4"/>
    <w:rsid w:val="002C0B4C"/>
    <w:rsid w:val="002C1003"/>
    <w:rsid w:val="002C2E1D"/>
    <w:rsid w:val="002D10C9"/>
    <w:rsid w:val="002F241A"/>
    <w:rsid w:val="003045BB"/>
    <w:rsid w:val="00320CCA"/>
    <w:rsid w:val="00325E1D"/>
    <w:rsid w:val="003358CC"/>
    <w:rsid w:val="00340934"/>
    <w:rsid w:val="003426B7"/>
    <w:rsid w:val="00345766"/>
    <w:rsid w:val="00346502"/>
    <w:rsid w:val="00352B4A"/>
    <w:rsid w:val="0036175C"/>
    <w:rsid w:val="00362564"/>
    <w:rsid w:val="00364FE1"/>
    <w:rsid w:val="00366C2C"/>
    <w:rsid w:val="0037185D"/>
    <w:rsid w:val="00374DBE"/>
    <w:rsid w:val="003802B7"/>
    <w:rsid w:val="00381A23"/>
    <w:rsid w:val="0038355C"/>
    <w:rsid w:val="00391371"/>
    <w:rsid w:val="003A7220"/>
    <w:rsid w:val="003B6B67"/>
    <w:rsid w:val="003B7FAA"/>
    <w:rsid w:val="003C5904"/>
    <w:rsid w:val="003D1827"/>
    <w:rsid w:val="003E6EE9"/>
    <w:rsid w:val="003F1DCB"/>
    <w:rsid w:val="00400A19"/>
    <w:rsid w:val="00405005"/>
    <w:rsid w:val="00405C65"/>
    <w:rsid w:val="004072E6"/>
    <w:rsid w:val="00412050"/>
    <w:rsid w:val="00426C18"/>
    <w:rsid w:val="004309F5"/>
    <w:rsid w:val="00434203"/>
    <w:rsid w:val="00453B88"/>
    <w:rsid w:val="004544EB"/>
    <w:rsid w:val="00460F93"/>
    <w:rsid w:val="004638FD"/>
    <w:rsid w:val="00471B2B"/>
    <w:rsid w:val="00473766"/>
    <w:rsid w:val="00477D19"/>
    <w:rsid w:val="00495082"/>
    <w:rsid w:val="00496CF3"/>
    <w:rsid w:val="004A5DD7"/>
    <w:rsid w:val="004B614C"/>
    <w:rsid w:val="004C043C"/>
    <w:rsid w:val="004C2554"/>
    <w:rsid w:val="004C4067"/>
    <w:rsid w:val="004C6B7A"/>
    <w:rsid w:val="004D25E4"/>
    <w:rsid w:val="004D3C28"/>
    <w:rsid w:val="004D5357"/>
    <w:rsid w:val="00505CF9"/>
    <w:rsid w:val="00507F64"/>
    <w:rsid w:val="00515712"/>
    <w:rsid w:val="00517085"/>
    <w:rsid w:val="0052689E"/>
    <w:rsid w:val="00527188"/>
    <w:rsid w:val="005272A9"/>
    <w:rsid w:val="00527358"/>
    <w:rsid w:val="00530518"/>
    <w:rsid w:val="00532567"/>
    <w:rsid w:val="005427A5"/>
    <w:rsid w:val="0054365E"/>
    <w:rsid w:val="005510D1"/>
    <w:rsid w:val="00572578"/>
    <w:rsid w:val="00572612"/>
    <w:rsid w:val="0057452E"/>
    <w:rsid w:val="0057787F"/>
    <w:rsid w:val="00581ED9"/>
    <w:rsid w:val="005843C6"/>
    <w:rsid w:val="00591E22"/>
    <w:rsid w:val="00592EBA"/>
    <w:rsid w:val="00595C1B"/>
    <w:rsid w:val="005A16AE"/>
    <w:rsid w:val="005B4936"/>
    <w:rsid w:val="005B4DBA"/>
    <w:rsid w:val="005B5549"/>
    <w:rsid w:val="005C7A7E"/>
    <w:rsid w:val="005E5A56"/>
    <w:rsid w:val="005F3BDB"/>
    <w:rsid w:val="005F57D3"/>
    <w:rsid w:val="00603957"/>
    <w:rsid w:val="00603CCF"/>
    <w:rsid w:val="00605421"/>
    <w:rsid w:val="00607791"/>
    <w:rsid w:val="00612995"/>
    <w:rsid w:val="00613521"/>
    <w:rsid w:val="006143BD"/>
    <w:rsid w:val="00614A88"/>
    <w:rsid w:val="00622D3D"/>
    <w:rsid w:val="006234C5"/>
    <w:rsid w:val="0062562D"/>
    <w:rsid w:val="00633695"/>
    <w:rsid w:val="006408DF"/>
    <w:rsid w:val="00646315"/>
    <w:rsid w:val="006464C6"/>
    <w:rsid w:val="006512DD"/>
    <w:rsid w:val="00651D53"/>
    <w:rsid w:val="00661081"/>
    <w:rsid w:val="00662EB4"/>
    <w:rsid w:val="00665243"/>
    <w:rsid w:val="006714F6"/>
    <w:rsid w:val="00674DF3"/>
    <w:rsid w:val="00681070"/>
    <w:rsid w:val="00684D85"/>
    <w:rsid w:val="006879A9"/>
    <w:rsid w:val="00691BEB"/>
    <w:rsid w:val="00697CBC"/>
    <w:rsid w:val="006A6F61"/>
    <w:rsid w:val="006B4042"/>
    <w:rsid w:val="006D3284"/>
    <w:rsid w:val="006F340C"/>
    <w:rsid w:val="00700928"/>
    <w:rsid w:val="0070176D"/>
    <w:rsid w:val="00702265"/>
    <w:rsid w:val="00702752"/>
    <w:rsid w:val="00704C59"/>
    <w:rsid w:val="007073B2"/>
    <w:rsid w:val="00711922"/>
    <w:rsid w:val="00716EFA"/>
    <w:rsid w:val="00724573"/>
    <w:rsid w:val="00726CB5"/>
    <w:rsid w:val="00731DA5"/>
    <w:rsid w:val="0073629D"/>
    <w:rsid w:val="00737DEA"/>
    <w:rsid w:val="00754BC7"/>
    <w:rsid w:val="00763FD0"/>
    <w:rsid w:val="00765A32"/>
    <w:rsid w:val="007672DC"/>
    <w:rsid w:val="007674AE"/>
    <w:rsid w:val="00772287"/>
    <w:rsid w:val="0078155B"/>
    <w:rsid w:val="00781A47"/>
    <w:rsid w:val="00781F6A"/>
    <w:rsid w:val="00797CEA"/>
    <w:rsid w:val="00797EAC"/>
    <w:rsid w:val="007B7F16"/>
    <w:rsid w:val="007D5295"/>
    <w:rsid w:val="007D6111"/>
    <w:rsid w:val="007E536A"/>
    <w:rsid w:val="007F1170"/>
    <w:rsid w:val="00805216"/>
    <w:rsid w:val="00812CE8"/>
    <w:rsid w:val="00814839"/>
    <w:rsid w:val="008170D5"/>
    <w:rsid w:val="00825102"/>
    <w:rsid w:val="00827005"/>
    <w:rsid w:val="00830ED5"/>
    <w:rsid w:val="00832FF2"/>
    <w:rsid w:val="008332BF"/>
    <w:rsid w:val="008412C8"/>
    <w:rsid w:val="00867152"/>
    <w:rsid w:val="00874EAF"/>
    <w:rsid w:val="00876C72"/>
    <w:rsid w:val="008832A9"/>
    <w:rsid w:val="0088357C"/>
    <w:rsid w:val="00885D91"/>
    <w:rsid w:val="00886C90"/>
    <w:rsid w:val="00890BE9"/>
    <w:rsid w:val="0089298E"/>
    <w:rsid w:val="00894CF2"/>
    <w:rsid w:val="00894F47"/>
    <w:rsid w:val="0089518D"/>
    <w:rsid w:val="00895318"/>
    <w:rsid w:val="008A731C"/>
    <w:rsid w:val="008A7C8B"/>
    <w:rsid w:val="008B6877"/>
    <w:rsid w:val="008C28A4"/>
    <w:rsid w:val="008C2BCD"/>
    <w:rsid w:val="008E740B"/>
    <w:rsid w:val="008F29C4"/>
    <w:rsid w:val="009024B9"/>
    <w:rsid w:val="00910641"/>
    <w:rsid w:val="00926AD4"/>
    <w:rsid w:val="00927671"/>
    <w:rsid w:val="00927742"/>
    <w:rsid w:val="00935838"/>
    <w:rsid w:val="009410B0"/>
    <w:rsid w:val="0095563E"/>
    <w:rsid w:val="00961760"/>
    <w:rsid w:val="00971736"/>
    <w:rsid w:val="009721A2"/>
    <w:rsid w:val="00972E56"/>
    <w:rsid w:val="00977EAB"/>
    <w:rsid w:val="00981B6F"/>
    <w:rsid w:val="00996D71"/>
    <w:rsid w:val="009A1905"/>
    <w:rsid w:val="009A41FC"/>
    <w:rsid w:val="009B7CF5"/>
    <w:rsid w:val="009C4418"/>
    <w:rsid w:val="009E2B43"/>
    <w:rsid w:val="009E37A2"/>
    <w:rsid w:val="009E6CD9"/>
    <w:rsid w:val="009F73B4"/>
    <w:rsid w:val="009F7E8E"/>
    <w:rsid w:val="00A007F2"/>
    <w:rsid w:val="00A205AB"/>
    <w:rsid w:val="00A229B4"/>
    <w:rsid w:val="00A31340"/>
    <w:rsid w:val="00A403D7"/>
    <w:rsid w:val="00A517D5"/>
    <w:rsid w:val="00A56096"/>
    <w:rsid w:val="00A67987"/>
    <w:rsid w:val="00A67C25"/>
    <w:rsid w:val="00A70B46"/>
    <w:rsid w:val="00A86BA8"/>
    <w:rsid w:val="00A9169B"/>
    <w:rsid w:val="00A92674"/>
    <w:rsid w:val="00AB0BF9"/>
    <w:rsid w:val="00AB7CA7"/>
    <w:rsid w:val="00AD0BF5"/>
    <w:rsid w:val="00AE31B6"/>
    <w:rsid w:val="00AE3AAF"/>
    <w:rsid w:val="00AE6477"/>
    <w:rsid w:val="00AE6831"/>
    <w:rsid w:val="00AF0E47"/>
    <w:rsid w:val="00AF3C5C"/>
    <w:rsid w:val="00B021C3"/>
    <w:rsid w:val="00B04CFA"/>
    <w:rsid w:val="00B07F00"/>
    <w:rsid w:val="00B155CD"/>
    <w:rsid w:val="00B203B1"/>
    <w:rsid w:val="00B25BF3"/>
    <w:rsid w:val="00B30107"/>
    <w:rsid w:val="00B37596"/>
    <w:rsid w:val="00B42AD7"/>
    <w:rsid w:val="00B45129"/>
    <w:rsid w:val="00B47A0F"/>
    <w:rsid w:val="00B52761"/>
    <w:rsid w:val="00B53B08"/>
    <w:rsid w:val="00B55E10"/>
    <w:rsid w:val="00B670FD"/>
    <w:rsid w:val="00B70128"/>
    <w:rsid w:val="00B80CC7"/>
    <w:rsid w:val="00B9491C"/>
    <w:rsid w:val="00BA2C9A"/>
    <w:rsid w:val="00BA4D19"/>
    <w:rsid w:val="00BA61E4"/>
    <w:rsid w:val="00BB099C"/>
    <w:rsid w:val="00BB3136"/>
    <w:rsid w:val="00BC1931"/>
    <w:rsid w:val="00BC52EF"/>
    <w:rsid w:val="00BD49F5"/>
    <w:rsid w:val="00BE1D1B"/>
    <w:rsid w:val="00BE5FDB"/>
    <w:rsid w:val="00BE6333"/>
    <w:rsid w:val="00BF303C"/>
    <w:rsid w:val="00BF402D"/>
    <w:rsid w:val="00BF410A"/>
    <w:rsid w:val="00C1663B"/>
    <w:rsid w:val="00C2635A"/>
    <w:rsid w:val="00C323CB"/>
    <w:rsid w:val="00C35684"/>
    <w:rsid w:val="00C42251"/>
    <w:rsid w:val="00C4246A"/>
    <w:rsid w:val="00C4573C"/>
    <w:rsid w:val="00C5146F"/>
    <w:rsid w:val="00C5294C"/>
    <w:rsid w:val="00C62B09"/>
    <w:rsid w:val="00C7276E"/>
    <w:rsid w:val="00C72819"/>
    <w:rsid w:val="00C82650"/>
    <w:rsid w:val="00C87613"/>
    <w:rsid w:val="00C91676"/>
    <w:rsid w:val="00C9413F"/>
    <w:rsid w:val="00CA032A"/>
    <w:rsid w:val="00CA2835"/>
    <w:rsid w:val="00CB456B"/>
    <w:rsid w:val="00CC2818"/>
    <w:rsid w:val="00CC2D1C"/>
    <w:rsid w:val="00CC555C"/>
    <w:rsid w:val="00CD1C9F"/>
    <w:rsid w:val="00CD3C37"/>
    <w:rsid w:val="00CD4B48"/>
    <w:rsid w:val="00CD4FA1"/>
    <w:rsid w:val="00CD7794"/>
    <w:rsid w:val="00CE1237"/>
    <w:rsid w:val="00CE1909"/>
    <w:rsid w:val="00CE1ACE"/>
    <w:rsid w:val="00CE1EF6"/>
    <w:rsid w:val="00CE2D80"/>
    <w:rsid w:val="00CE4FCB"/>
    <w:rsid w:val="00CF2D5B"/>
    <w:rsid w:val="00CF7B6F"/>
    <w:rsid w:val="00D1174D"/>
    <w:rsid w:val="00D12FA3"/>
    <w:rsid w:val="00D31128"/>
    <w:rsid w:val="00D357C7"/>
    <w:rsid w:val="00D376F2"/>
    <w:rsid w:val="00D41C56"/>
    <w:rsid w:val="00D465B9"/>
    <w:rsid w:val="00D468E8"/>
    <w:rsid w:val="00D5505F"/>
    <w:rsid w:val="00D55226"/>
    <w:rsid w:val="00D70CD6"/>
    <w:rsid w:val="00D71B6A"/>
    <w:rsid w:val="00D82AF9"/>
    <w:rsid w:val="00D93365"/>
    <w:rsid w:val="00DA627A"/>
    <w:rsid w:val="00DB2FDE"/>
    <w:rsid w:val="00DB4A5A"/>
    <w:rsid w:val="00DC3B3E"/>
    <w:rsid w:val="00DC7A9E"/>
    <w:rsid w:val="00DD1AAA"/>
    <w:rsid w:val="00DE1DDE"/>
    <w:rsid w:val="00DE294B"/>
    <w:rsid w:val="00DF0ACF"/>
    <w:rsid w:val="00DF7698"/>
    <w:rsid w:val="00E00089"/>
    <w:rsid w:val="00E06CD9"/>
    <w:rsid w:val="00E2282A"/>
    <w:rsid w:val="00E26C53"/>
    <w:rsid w:val="00E33168"/>
    <w:rsid w:val="00E34DED"/>
    <w:rsid w:val="00E43F9B"/>
    <w:rsid w:val="00E9111E"/>
    <w:rsid w:val="00E93B6F"/>
    <w:rsid w:val="00E963E1"/>
    <w:rsid w:val="00EA0B34"/>
    <w:rsid w:val="00EA454C"/>
    <w:rsid w:val="00EB21CD"/>
    <w:rsid w:val="00EB23B8"/>
    <w:rsid w:val="00EC313F"/>
    <w:rsid w:val="00ED47F5"/>
    <w:rsid w:val="00ED6C10"/>
    <w:rsid w:val="00EE140D"/>
    <w:rsid w:val="00EE54AD"/>
    <w:rsid w:val="00EE6A60"/>
    <w:rsid w:val="00EF0C3B"/>
    <w:rsid w:val="00EF4BA4"/>
    <w:rsid w:val="00EF57FB"/>
    <w:rsid w:val="00F0132D"/>
    <w:rsid w:val="00F357F5"/>
    <w:rsid w:val="00F36E85"/>
    <w:rsid w:val="00F412E2"/>
    <w:rsid w:val="00F43BF1"/>
    <w:rsid w:val="00F63FB9"/>
    <w:rsid w:val="00F6565A"/>
    <w:rsid w:val="00F814E6"/>
    <w:rsid w:val="00FA55B2"/>
    <w:rsid w:val="00FB652D"/>
    <w:rsid w:val="00FB749C"/>
    <w:rsid w:val="00FC051D"/>
    <w:rsid w:val="00FC0BAA"/>
    <w:rsid w:val="00FC2964"/>
    <w:rsid w:val="00FC4766"/>
    <w:rsid w:val="00FD1614"/>
    <w:rsid w:val="00FD7A0C"/>
    <w:rsid w:val="00FE1ACF"/>
    <w:rsid w:val="00FE21D3"/>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B35B18"/>
  <w15:chartTrackingRefBased/>
  <w15:docId w15:val="{4483F9C5-E3DE-494E-9D6A-2430DA16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BF3"/>
    <w:rPr>
      <w:rFonts w:ascii="Arial" w:hAnsi="Arial"/>
      <w:sz w:val="24"/>
      <w:lang w:eastAsia="en-US"/>
    </w:rPr>
  </w:style>
  <w:style w:type="paragraph" w:styleId="Heading1">
    <w:name w:val="heading 1"/>
    <w:basedOn w:val="Normal"/>
    <w:next w:val="Normal"/>
    <w:qFormat/>
    <w:rsid w:val="00B25BF3"/>
    <w:pPr>
      <w:keepNext/>
      <w:outlineLvl w:val="0"/>
    </w:pPr>
    <w:rPr>
      <w:b/>
    </w:rPr>
  </w:style>
  <w:style w:type="paragraph" w:styleId="Heading2">
    <w:name w:val="heading 2"/>
    <w:basedOn w:val="Normal"/>
    <w:next w:val="Normal"/>
    <w:qFormat/>
    <w:rsid w:val="00B25BF3"/>
    <w:pPr>
      <w:keepNext/>
      <w:outlineLvl w:val="1"/>
    </w:pPr>
    <w:rPr>
      <w:b/>
      <w:sz w:val="22"/>
    </w:rPr>
  </w:style>
  <w:style w:type="paragraph" w:styleId="Heading3">
    <w:name w:val="heading 3"/>
    <w:basedOn w:val="Normal"/>
    <w:next w:val="Normal"/>
    <w:qFormat/>
    <w:rsid w:val="00B25BF3"/>
    <w:pPr>
      <w:keepNext/>
      <w:jc w:val="center"/>
      <w:outlineLvl w:val="2"/>
    </w:pPr>
    <w:rPr>
      <w:b/>
      <w:bCs/>
    </w:rPr>
  </w:style>
  <w:style w:type="paragraph" w:styleId="Heading5">
    <w:name w:val="heading 5"/>
    <w:basedOn w:val="Normal"/>
    <w:next w:val="Normal"/>
    <w:qFormat/>
    <w:rsid w:val="00B25BF3"/>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5BF3"/>
    <w:pPr>
      <w:tabs>
        <w:tab w:val="center" w:pos="4153"/>
        <w:tab w:val="right" w:pos="8306"/>
      </w:tabs>
    </w:pPr>
  </w:style>
  <w:style w:type="paragraph" w:styleId="Footer">
    <w:name w:val="footer"/>
    <w:basedOn w:val="Normal"/>
    <w:link w:val="FooterChar"/>
    <w:uiPriority w:val="99"/>
    <w:rsid w:val="00B25BF3"/>
    <w:pPr>
      <w:tabs>
        <w:tab w:val="center" w:pos="4153"/>
        <w:tab w:val="right" w:pos="8306"/>
      </w:tabs>
    </w:pPr>
  </w:style>
  <w:style w:type="paragraph" w:styleId="BodyTextIndent">
    <w:name w:val="Body Text Indent"/>
    <w:basedOn w:val="Normal"/>
    <w:rsid w:val="00B25BF3"/>
    <w:pPr>
      <w:ind w:left="720"/>
    </w:pPr>
  </w:style>
  <w:style w:type="paragraph" w:styleId="BodyText">
    <w:name w:val="Body Text"/>
    <w:basedOn w:val="Normal"/>
    <w:rsid w:val="00B25BF3"/>
    <w:rPr>
      <w:rFonts w:ascii="Arial Narrow" w:hAnsi="Arial Narrow"/>
      <w:sz w:val="20"/>
    </w:rPr>
  </w:style>
  <w:style w:type="paragraph" w:styleId="Title">
    <w:name w:val="Title"/>
    <w:basedOn w:val="Normal"/>
    <w:qFormat/>
    <w:rsid w:val="00B25BF3"/>
    <w:pPr>
      <w:jc w:val="center"/>
    </w:pPr>
    <w:rPr>
      <w:b/>
      <w:bCs/>
    </w:rPr>
  </w:style>
  <w:style w:type="character" w:styleId="Hyperlink">
    <w:name w:val="Hyperlink"/>
    <w:rsid w:val="00B25BF3"/>
    <w:rPr>
      <w:color w:val="0000FF"/>
      <w:u w:val="single"/>
    </w:rPr>
  </w:style>
  <w:style w:type="table" w:styleId="TableGrid">
    <w:name w:val="Table Grid"/>
    <w:basedOn w:val="TableNormal"/>
    <w:rsid w:val="00B2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5BF3"/>
  </w:style>
  <w:style w:type="paragraph" w:styleId="BalloonText">
    <w:name w:val="Balloon Text"/>
    <w:basedOn w:val="Normal"/>
    <w:semiHidden/>
    <w:rsid w:val="00B25BF3"/>
    <w:rPr>
      <w:rFonts w:ascii="Tahoma" w:hAnsi="Tahoma" w:cs="Tahoma"/>
      <w:sz w:val="16"/>
      <w:szCs w:val="16"/>
    </w:rPr>
  </w:style>
  <w:style w:type="character" w:styleId="Strong">
    <w:name w:val="Strong"/>
    <w:qFormat/>
    <w:rsid w:val="00B25BF3"/>
    <w:rPr>
      <w:b/>
      <w:bCs/>
    </w:rPr>
  </w:style>
  <w:style w:type="character" w:styleId="CommentReference">
    <w:name w:val="annotation reference"/>
    <w:semiHidden/>
    <w:rsid w:val="00B25BF3"/>
    <w:rPr>
      <w:sz w:val="16"/>
      <w:szCs w:val="16"/>
    </w:rPr>
  </w:style>
  <w:style w:type="paragraph" w:styleId="CommentText">
    <w:name w:val="annotation text"/>
    <w:basedOn w:val="Normal"/>
    <w:semiHidden/>
    <w:rsid w:val="00B25BF3"/>
    <w:rPr>
      <w:sz w:val="20"/>
    </w:rPr>
  </w:style>
  <w:style w:type="paragraph" w:styleId="CommentSubject">
    <w:name w:val="annotation subject"/>
    <w:basedOn w:val="CommentText"/>
    <w:next w:val="CommentText"/>
    <w:semiHidden/>
    <w:rsid w:val="00B25BF3"/>
    <w:rPr>
      <w:b/>
      <w:bCs/>
    </w:rPr>
  </w:style>
  <w:style w:type="paragraph" w:styleId="TOC1">
    <w:name w:val="toc 1"/>
    <w:basedOn w:val="Normal"/>
    <w:next w:val="Normal"/>
    <w:autoRedefine/>
    <w:semiHidden/>
    <w:rsid w:val="00591E22"/>
    <w:pPr>
      <w:tabs>
        <w:tab w:val="left" w:pos="960"/>
        <w:tab w:val="right" w:pos="9061"/>
      </w:tabs>
      <w:spacing w:before="240" w:after="120"/>
    </w:pPr>
    <w:rPr>
      <w:rFonts w:cs="Arial"/>
      <w:b/>
      <w:bCs/>
      <w:noProof/>
      <w:szCs w:val="24"/>
    </w:rPr>
  </w:style>
  <w:style w:type="paragraph" w:styleId="TOC2">
    <w:name w:val="toc 2"/>
    <w:basedOn w:val="Normal"/>
    <w:next w:val="Normal"/>
    <w:autoRedefine/>
    <w:semiHidden/>
    <w:rsid w:val="00B25BF3"/>
    <w:pPr>
      <w:spacing w:before="120"/>
      <w:ind w:left="240"/>
    </w:pPr>
    <w:rPr>
      <w:rFonts w:ascii="Times New Roman" w:hAnsi="Times New Roman"/>
      <w:i/>
      <w:iCs/>
      <w:sz w:val="20"/>
    </w:rPr>
  </w:style>
  <w:style w:type="paragraph" w:styleId="TOC3">
    <w:name w:val="toc 3"/>
    <w:basedOn w:val="Normal"/>
    <w:next w:val="Normal"/>
    <w:autoRedefine/>
    <w:semiHidden/>
    <w:rsid w:val="00B25BF3"/>
    <w:pPr>
      <w:ind w:left="480"/>
    </w:pPr>
    <w:rPr>
      <w:rFonts w:ascii="Times New Roman" w:hAnsi="Times New Roman"/>
      <w:sz w:val="20"/>
    </w:rPr>
  </w:style>
  <w:style w:type="paragraph" w:styleId="TOC4">
    <w:name w:val="toc 4"/>
    <w:basedOn w:val="Normal"/>
    <w:next w:val="Normal"/>
    <w:autoRedefine/>
    <w:semiHidden/>
    <w:rsid w:val="00B25BF3"/>
    <w:pPr>
      <w:ind w:left="720"/>
    </w:pPr>
    <w:rPr>
      <w:rFonts w:ascii="Times New Roman" w:hAnsi="Times New Roman"/>
      <w:sz w:val="20"/>
    </w:rPr>
  </w:style>
  <w:style w:type="paragraph" w:styleId="TOC5">
    <w:name w:val="toc 5"/>
    <w:basedOn w:val="Normal"/>
    <w:next w:val="Normal"/>
    <w:autoRedefine/>
    <w:semiHidden/>
    <w:rsid w:val="00B25BF3"/>
    <w:pPr>
      <w:ind w:left="960"/>
    </w:pPr>
    <w:rPr>
      <w:rFonts w:ascii="Times New Roman" w:hAnsi="Times New Roman"/>
      <w:sz w:val="20"/>
    </w:rPr>
  </w:style>
  <w:style w:type="paragraph" w:styleId="TOC6">
    <w:name w:val="toc 6"/>
    <w:basedOn w:val="Normal"/>
    <w:next w:val="Normal"/>
    <w:autoRedefine/>
    <w:semiHidden/>
    <w:rsid w:val="00B25BF3"/>
    <w:pPr>
      <w:ind w:left="1200"/>
    </w:pPr>
    <w:rPr>
      <w:rFonts w:ascii="Times New Roman" w:hAnsi="Times New Roman"/>
      <w:sz w:val="20"/>
    </w:rPr>
  </w:style>
  <w:style w:type="paragraph" w:styleId="TOC7">
    <w:name w:val="toc 7"/>
    <w:basedOn w:val="Normal"/>
    <w:next w:val="Normal"/>
    <w:autoRedefine/>
    <w:semiHidden/>
    <w:rsid w:val="00B25BF3"/>
    <w:pPr>
      <w:ind w:left="1440"/>
    </w:pPr>
    <w:rPr>
      <w:rFonts w:ascii="Times New Roman" w:hAnsi="Times New Roman"/>
      <w:sz w:val="20"/>
    </w:rPr>
  </w:style>
  <w:style w:type="paragraph" w:styleId="TOC8">
    <w:name w:val="toc 8"/>
    <w:basedOn w:val="Normal"/>
    <w:next w:val="Normal"/>
    <w:autoRedefine/>
    <w:semiHidden/>
    <w:rsid w:val="00B25BF3"/>
    <w:pPr>
      <w:ind w:left="1680"/>
    </w:pPr>
    <w:rPr>
      <w:rFonts w:ascii="Times New Roman" w:hAnsi="Times New Roman"/>
      <w:sz w:val="20"/>
    </w:rPr>
  </w:style>
  <w:style w:type="paragraph" w:styleId="TOC9">
    <w:name w:val="toc 9"/>
    <w:basedOn w:val="Normal"/>
    <w:next w:val="Normal"/>
    <w:autoRedefine/>
    <w:semiHidden/>
    <w:rsid w:val="00B25BF3"/>
    <w:pPr>
      <w:ind w:left="1920"/>
    </w:pPr>
    <w:rPr>
      <w:rFonts w:ascii="Times New Roman" w:hAnsi="Times New Roman"/>
      <w:sz w:val="20"/>
    </w:rPr>
  </w:style>
  <w:style w:type="paragraph" w:styleId="DocumentMap">
    <w:name w:val="Document Map"/>
    <w:basedOn w:val="Normal"/>
    <w:semiHidden/>
    <w:rsid w:val="00B25BF3"/>
    <w:pPr>
      <w:shd w:val="clear" w:color="auto" w:fill="000080"/>
    </w:pPr>
    <w:rPr>
      <w:rFonts w:ascii="Tahoma" w:hAnsi="Tahoma" w:cs="Tahoma"/>
      <w:sz w:val="20"/>
    </w:rPr>
  </w:style>
  <w:style w:type="paragraph" w:customStyle="1" w:styleId="Default">
    <w:name w:val="Default"/>
    <w:rsid w:val="00CE1909"/>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DF7698"/>
    <w:rPr>
      <w:color w:val="800080"/>
      <w:u w:val="single"/>
    </w:rPr>
  </w:style>
  <w:style w:type="paragraph" w:styleId="ListParagraph">
    <w:name w:val="List Paragraph"/>
    <w:basedOn w:val="Normal"/>
    <w:uiPriority w:val="34"/>
    <w:qFormat/>
    <w:rsid w:val="009F7E8E"/>
    <w:pPr>
      <w:ind w:left="720"/>
    </w:pPr>
  </w:style>
  <w:style w:type="character" w:customStyle="1" w:styleId="FooterChar">
    <w:name w:val="Footer Char"/>
    <w:link w:val="Footer"/>
    <w:uiPriority w:val="99"/>
    <w:rsid w:val="002209C3"/>
    <w:rPr>
      <w:rFonts w:ascii="Arial" w:hAnsi="Arial"/>
      <w:sz w:val="24"/>
      <w:lang w:eastAsia="en-US"/>
    </w:rPr>
  </w:style>
  <w:style w:type="character" w:styleId="UnresolvedMention">
    <w:name w:val="Unresolved Mention"/>
    <w:uiPriority w:val="99"/>
    <w:semiHidden/>
    <w:unhideWhenUsed/>
    <w:rsid w:val="00FD1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3977">
      <w:bodyDiv w:val="1"/>
      <w:marLeft w:val="0"/>
      <w:marRight w:val="0"/>
      <w:marTop w:val="0"/>
      <w:marBottom w:val="0"/>
      <w:divBdr>
        <w:top w:val="none" w:sz="0" w:space="0" w:color="auto"/>
        <w:left w:val="none" w:sz="0" w:space="0" w:color="auto"/>
        <w:bottom w:val="none" w:sz="0" w:space="0" w:color="auto"/>
        <w:right w:val="none" w:sz="0" w:space="0" w:color="auto"/>
      </w:divBdr>
    </w:div>
    <w:div w:id="449595603">
      <w:bodyDiv w:val="1"/>
      <w:marLeft w:val="0"/>
      <w:marRight w:val="0"/>
      <w:marTop w:val="0"/>
      <w:marBottom w:val="0"/>
      <w:divBdr>
        <w:top w:val="none" w:sz="0" w:space="0" w:color="auto"/>
        <w:left w:val="none" w:sz="0" w:space="0" w:color="auto"/>
        <w:bottom w:val="none" w:sz="0" w:space="0" w:color="auto"/>
        <w:right w:val="none" w:sz="0" w:space="0" w:color="auto"/>
      </w:divBdr>
    </w:div>
    <w:div w:id="1023703044">
      <w:bodyDiv w:val="1"/>
      <w:marLeft w:val="0"/>
      <w:marRight w:val="0"/>
      <w:marTop w:val="0"/>
      <w:marBottom w:val="0"/>
      <w:divBdr>
        <w:top w:val="none" w:sz="0" w:space="0" w:color="auto"/>
        <w:left w:val="none" w:sz="0" w:space="0" w:color="auto"/>
        <w:bottom w:val="none" w:sz="0" w:space="0" w:color="auto"/>
        <w:right w:val="none" w:sz="0" w:space="0" w:color="auto"/>
      </w:divBdr>
    </w:div>
    <w:div w:id="1205672784">
      <w:bodyDiv w:val="1"/>
      <w:marLeft w:val="0"/>
      <w:marRight w:val="0"/>
      <w:marTop w:val="0"/>
      <w:marBottom w:val="0"/>
      <w:divBdr>
        <w:top w:val="none" w:sz="0" w:space="0" w:color="auto"/>
        <w:left w:val="none" w:sz="0" w:space="0" w:color="auto"/>
        <w:bottom w:val="none" w:sz="0" w:space="0" w:color="auto"/>
        <w:right w:val="none" w:sz="0" w:space="0" w:color="auto"/>
      </w:divBdr>
    </w:div>
    <w:div w:id="1569341312">
      <w:bodyDiv w:val="1"/>
      <w:marLeft w:val="0"/>
      <w:marRight w:val="0"/>
      <w:marTop w:val="0"/>
      <w:marBottom w:val="0"/>
      <w:divBdr>
        <w:top w:val="none" w:sz="0" w:space="0" w:color="auto"/>
        <w:left w:val="none" w:sz="0" w:space="0" w:color="auto"/>
        <w:bottom w:val="none" w:sz="0" w:space="0" w:color="auto"/>
        <w:right w:val="none" w:sz="0" w:space="0" w:color="auto"/>
      </w:divBdr>
    </w:div>
    <w:div w:id="16291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package" Target="embeddings/Microsoft_Word_Document2.docx"/><Relationship Id="rId3" Type="http://schemas.openxmlformats.org/officeDocument/2006/relationships/numbering" Target="numbering.xml"/><Relationship Id="rId21" Type="http://schemas.openxmlformats.org/officeDocument/2006/relationships/package" Target="embeddings/Microsoft_Word_Document.docx"/><Relationship Id="rId34" Type="http://schemas.openxmlformats.org/officeDocument/2006/relationships/hyperlink" Target="http://www.equalityhumanrights.com/about-us/devolved-authorities/the-commission-in-scotland/legal-news-in-about-us/devolved-authorities/the-commission-in-scotland/articles/understanding-the-scottish-specific-public-sector-equality-duti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image" Target="media/image5.emf"/><Relationship Id="rId33" Type="http://schemas.openxmlformats.org/officeDocument/2006/relationships/hyperlink" Target="https://www.gov.uk/equality-act-2010-guidance"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Microsoft_Word_Document1.docx"/><Relationship Id="rId32" Type="http://schemas.openxmlformats.org/officeDocument/2006/relationships/hyperlink" Target="https://www.glasgow.gov.uk/index.aspx?articleid=1753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lasgow.gov.uk/councillorsandcommittees/submissiondocuments.asp?submissionid=92785" TargetMode="External"/><Relationship Id="rId23" Type="http://schemas.openxmlformats.org/officeDocument/2006/relationships/image" Target="media/image4.emf"/><Relationship Id="rId28" Type="http://schemas.openxmlformats.org/officeDocument/2006/relationships/hyperlink" Target="https://www.gov.uk/definition-of-disability-under-equality-act-2010"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hyperlink" Target="https://www.glasgow.gov.uk/index.aspx?articleid=17533"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lasgow.gov.uk/councillorsandcommittees/doDocumentSearchPublic.asp?selC=12&amp;DateFrom=24%2F03%2F2021&amp;DateTo=24%2F03%2F2021&amp;optD=&amp;txtKey=Enter+Keywords+Here&amp;chkP=s&amp;selO=DateDesc&amp;selD=10&amp;cmdSearch=Search&amp;url=DocumentSearchPublic.asp" TargetMode="External"/><Relationship Id="rId27" Type="http://schemas.openxmlformats.org/officeDocument/2006/relationships/hyperlink" Target="https://www.google.co.uk/url?sa=t&amp;rct=j&amp;q=&amp;esrc=s&amp;source=web&amp;cd=1&amp;ved=0ahUKEwij_q-kganSAhXEDsAKHZoeBgcQFggcMAA&amp;url=https%3A%2F%2Fwww.ons.gov.uk%2Fons%2Fguide-method%2Fharmonisation%2Fprimary-set-of-harmonised-concepts-and-questions%2Fethnic-group.pdf&amp;usg=AFQjCNFH-QwgZzHMg_lyyP4rhOqS2uZWjw" TargetMode="External"/><Relationship Id="rId30"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35" Type="http://schemas.openxmlformats.org/officeDocument/2006/relationships/hyperlink" Target="https://www.gov.scot/binaries/content/documents/govscot/publications/guidance/2018/03/fairer-scotland-duty-interim-guidance-public-bodies/documents/00533417-pdf/00533417-pdf/govscot%3A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B6C3B480-7A92-4732-8B89-584BB761E55B}">
  <ds:schemaRefs>
    <ds:schemaRef ds:uri="http://schemas.openxmlformats.org/officeDocument/2006/bibliography"/>
  </ds:schemaRefs>
</ds:datastoreItem>
</file>

<file path=customXml/itemProps2.xml><?xml version="1.0" encoding="utf-8"?>
<ds:datastoreItem xmlns:ds="http://schemas.openxmlformats.org/officeDocument/2006/customXml" ds:itemID="{2EDAEF7E-D40D-4A06-AD09-CEDC9F68D05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4695</Words>
  <Characters>27404</Characters>
  <Application>Microsoft Office Word</Application>
  <DocSecurity>0</DocSecurity>
  <Lines>1096</Lines>
  <Paragraphs>265</Paragraphs>
  <ScaleCrop>false</ScaleCrop>
  <HeadingPairs>
    <vt:vector size="2" baseType="variant">
      <vt:variant>
        <vt:lpstr>Title</vt:lpstr>
      </vt:variant>
      <vt:variant>
        <vt:i4>1</vt:i4>
      </vt:variant>
    </vt:vector>
  </HeadingPairs>
  <TitlesOfParts>
    <vt:vector size="1" baseType="lpstr">
      <vt:lpstr>Contents</vt:lpstr>
    </vt:vector>
  </TitlesOfParts>
  <Company>Glasgow city Council</Company>
  <LinksUpToDate>false</LinksUpToDate>
  <CharactersWithSpaces>31834</CharactersWithSpaces>
  <SharedDoc>false</SharedDoc>
  <HLinks>
    <vt:vector size="66" baseType="variant">
      <vt:variant>
        <vt:i4>655365</vt:i4>
      </vt:variant>
      <vt:variant>
        <vt:i4>45</vt:i4>
      </vt:variant>
      <vt:variant>
        <vt:i4>0</vt:i4>
      </vt:variant>
      <vt:variant>
        <vt:i4>5</vt:i4>
      </vt:variant>
      <vt:variant>
        <vt:lpwstr>https://www.gov.scot/binaries/content/documents/govscot/publications/guidance/2018/03/fairer-scotland-duty-interim-guidance-public-bodies/documents/00533417-pdf/00533417-pdf/govscot%3Adocument</vt:lpwstr>
      </vt:variant>
      <vt:variant>
        <vt:lpwstr/>
      </vt:variant>
      <vt:variant>
        <vt:i4>1704026</vt:i4>
      </vt:variant>
      <vt:variant>
        <vt:i4>42</vt:i4>
      </vt:variant>
      <vt:variant>
        <vt:i4>0</vt:i4>
      </vt:variant>
      <vt:variant>
        <vt:i4>5</vt:i4>
      </vt:variant>
      <vt:variant>
        <vt:lpwstr>http://www.equalityhumanrights.com/about-us/devolved-authorities/the-commission-in-scotland/legal-news-in-about-us/devolved-authorities/the-commission-in-scotland/articles/understanding-the-scottish-specific-public-sector-equality-duties</vt:lpwstr>
      </vt:variant>
      <vt:variant>
        <vt:lpwstr/>
      </vt:variant>
      <vt:variant>
        <vt:i4>327759</vt:i4>
      </vt:variant>
      <vt:variant>
        <vt:i4>39</vt:i4>
      </vt:variant>
      <vt:variant>
        <vt:i4>0</vt:i4>
      </vt:variant>
      <vt:variant>
        <vt:i4>5</vt:i4>
      </vt:variant>
      <vt:variant>
        <vt:lpwstr>https://www.gov.uk/equality-act-2010-guidance</vt:lpwstr>
      </vt:variant>
      <vt:variant>
        <vt:lpwstr/>
      </vt:variant>
      <vt:variant>
        <vt:i4>4194368</vt:i4>
      </vt:variant>
      <vt:variant>
        <vt:i4>36</vt:i4>
      </vt:variant>
      <vt:variant>
        <vt:i4>0</vt:i4>
      </vt:variant>
      <vt:variant>
        <vt:i4>5</vt:i4>
      </vt:variant>
      <vt:variant>
        <vt:lpwstr>https://www.glasgow.gov.uk/index.aspx?articleid=17533</vt:lpwstr>
      </vt:variant>
      <vt:variant>
        <vt:lpwstr/>
      </vt:variant>
      <vt:variant>
        <vt:i4>4194368</vt:i4>
      </vt:variant>
      <vt:variant>
        <vt:i4>33</vt:i4>
      </vt:variant>
      <vt:variant>
        <vt:i4>0</vt:i4>
      </vt:variant>
      <vt:variant>
        <vt:i4>5</vt:i4>
      </vt:variant>
      <vt:variant>
        <vt:lpwstr>https://www.glasgow.gov.uk/index.aspx?articleid=17533</vt:lpwstr>
      </vt:variant>
      <vt:variant>
        <vt:lpwstr/>
      </vt:variant>
      <vt:variant>
        <vt:i4>6422632</vt:i4>
      </vt:variant>
      <vt:variant>
        <vt:i4>30</vt:i4>
      </vt:variant>
      <vt:variant>
        <vt:i4>0</vt:i4>
      </vt:variant>
      <vt:variant>
        <vt:i4>5</vt:i4>
      </vt:variant>
      <vt:variant>
        <vt:lpwstr>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vt:lpwstr>
      </vt:variant>
      <vt:variant>
        <vt:lpwstr/>
      </vt:variant>
      <vt:variant>
        <vt:i4>6422632</vt:i4>
      </vt:variant>
      <vt:variant>
        <vt:i4>27</vt:i4>
      </vt:variant>
      <vt:variant>
        <vt:i4>0</vt:i4>
      </vt:variant>
      <vt:variant>
        <vt:i4>5</vt:i4>
      </vt:variant>
      <vt:variant>
        <vt:lpwstr>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vt:lpwstr>
      </vt:variant>
      <vt:variant>
        <vt:lpwstr/>
      </vt:variant>
      <vt:variant>
        <vt:i4>3014754</vt:i4>
      </vt:variant>
      <vt:variant>
        <vt:i4>24</vt:i4>
      </vt:variant>
      <vt:variant>
        <vt:i4>0</vt:i4>
      </vt:variant>
      <vt:variant>
        <vt:i4>5</vt:i4>
      </vt:variant>
      <vt:variant>
        <vt:lpwstr>https://www.gov.uk/definition-of-disability-under-equality-act-2010</vt:lpwstr>
      </vt:variant>
      <vt:variant>
        <vt:lpwstr/>
      </vt:variant>
      <vt:variant>
        <vt:i4>721011</vt:i4>
      </vt:variant>
      <vt:variant>
        <vt:i4>21</vt:i4>
      </vt:variant>
      <vt:variant>
        <vt:i4>0</vt:i4>
      </vt:variant>
      <vt:variant>
        <vt:i4>5</vt:i4>
      </vt:variant>
      <vt:variant>
        <vt:lpwstr>https://www.google.co.uk/url?sa=t&amp;rct=j&amp;q=&amp;esrc=s&amp;source=web&amp;cd=1&amp;ved=0ahUKEwij_q-kganSAhXEDsAKHZoeBgcQFggcMAA&amp;url=https%3A%2F%2Fwww.ons.gov.uk%2Fons%2Fguide-method%2Fharmonisation%2Fprimary-set-of-harmonised-concepts-and-questions%2Fethnic-group.pdf&amp;usg=AFQjCNFH-QwgZzHMg_lyyP4rhOqS2uZWjw</vt:lpwstr>
      </vt:variant>
      <vt:variant>
        <vt:lpwstr/>
      </vt:variant>
      <vt:variant>
        <vt:i4>4456532</vt:i4>
      </vt:variant>
      <vt:variant>
        <vt:i4>12</vt:i4>
      </vt:variant>
      <vt:variant>
        <vt:i4>0</vt:i4>
      </vt:variant>
      <vt:variant>
        <vt:i4>5</vt:i4>
      </vt:variant>
      <vt:variant>
        <vt:lpwstr>https://www.glasgow.gov.uk/councillorsandcommittees/doDocumentSearchPublic.asp?selC=12&amp;DateFrom=24%2F03%2F2021&amp;DateTo=24%2F03%2F2021&amp;optD=&amp;txtKey=Enter+Keywords+Here&amp;chkP=s&amp;selO=DateDesc&amp;selD=10&amp;cmdSearch=Search&amp;url=DocumentSearchPublic.asp</vt:lpwstr>
      </vt:variant>
      <vt:variant>
        <vt:lpwstr/>
      </vt:variant>
      <vt:variant>
        <vt:i4>3670070</vt:i4>
      </vt:variant>
      <vt:variant>
        <vt:i4>0</vt:i4>
      </vt:variant>
      <vt:variant>
        <vt:i4>0</vt:i4>
      </vt:variant>
      <vt:variant>
        <vt:i4>5</vt:i4>
      </vt:variant>
      <vt:variant>
        <vt:lpwstr>https://www.glasgow.gov.uk/councillorsandcommittees/submissiondocuments.asp?submissionid=92785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Quinn, Cormac</dc:creator>
  <cp:keywords>[OFFICIAL]</cp:keywords>
  <cp:lastModifiedBy>Speirs, Alan (Social Work)</cp:lastModifiedBy>
  <cp:revision>4</cp:revision>
  <cp:lastPrinted>2020-02-25T09:53:00Z</cp:lastPrinted>
  <dcterms:created xsi:type="dcterms:W3CDTF">2022-03-04T10:32:00Z</dcterms:created>
  <dcterms:modified xsi:type="dcterms:W3CDTF">2022-03-04T10:33:00Z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af764744-7a19-4f15-b183-20cf3faa058b</vt:lpwstr>
  </property>
  <property fmtid="{D5CDD505-2E9C-101B-9397-08002B2CF9AE}" pid="3" name="bjSaver">
    <vt:lpwstr>tqZeF8ojOAetK3y8I+Z5+EewoU8+fXV9</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